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087F7" w14:textId="0F4D38EC" w:rsidR="00E203C2" w:rsidRDefault="00E203C2" w:rsidP="00E203C2">
      <w:r>
        <w:rPr>
          <w:noProof/>
          <w:lang w:eastAsia="en-GB" w:bidi="ar-SA"/>
        </w:rPr>
        <w:drawing>
          <wp:inline distT="0" distB="0" distL="0" distR="0" wp14:anchorId="4593448A" wp14:editId="208D7A9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B1CD624" w14:textId="77777777" w:rsidR="00E203C2" w:rsidRDefault="00E203C2" w:rsidP="00E203C2"/>
    <w:p w14:paraId="5C2F6648" w14:textId="77777777" w:rsidR="00F8368B" w:rsidRDefault="00F8368B" w:rsidP="00F8368B">
      <w:pPr>
        <w:rPr>
          <w:b/>
          <w:sz w:val="28"/>
          <w:szCs w:val="28"/>
        </w:rPr>
      </w:pPr>
      <w:r>
        <w:rPr>
          <w:b/>
          <w:sz w:val="28"/>
          <w:szCs w:val="28"/>
        </w:rPr>
        <w:t>10 June 2016</w:t>
      </w:r>
    </w:p>
    <w:p w14:paraId="2173CB79" w14:textId="77777777" w:rsidR="00F8368B" w:rsidRDefault="00F8368B" w:rsidP="00F8368B">
      <w:pPr>
        <w:rPr>
          <w:b/>
          <w:sz w:val="28"/>
          <w:szCs w:val="28"/>
        </w:rPr>
      </w:pPr>
      <w:r>
        <w:rPr>
          <w:b/>
          <w:sz w:val="28"/>
          <w:szCs w:val="28"/>
        </w:rPr>
        <w:t>[14–16]</w:t>
      </w:r>
    </w:p>
    <w:p w14:paraId="0070C4A6" w14:textId="77777777" w:rsidR="00BA24E2" w:rsidRDefault="00BA24E2" w:rsidP="00E203C2"/>
    <w:p w14:paraId="0134D6FF" w14:textId="6296BA2F" w:rsidR="00D056F1" w:rsidRPr="00A77C3D" w:rsidRDefault="000427B2" w:rsidP="002432EE">
      <w:pPr>
        <w:pStyle w:val="FSTitle"/>
        <w:rPr>
          <w:b/>
        </w:rPr>
      </w:pPr>
      <w:r w:rsidRPr="00A77C3D">
        <w:rPr>
          <w:b/>
        </w:rPr>
        <w:t>C</w:t>
      </w:r>
      <w:r w:rsidR="00D8470F" w:rsidRPr="00A77C3D">
        <w:rPr>
          <w:b/>
        </w:rPr>
        <w:t>all</w:t>
      </w:r>
      <w:r w:rsidRPr="00A77C3D">
        <w:rPr>
          <w:b/>
        </w:rPr>
        <w:t xml:space="preserve"> </w:t>
      </w:r>
      <w:r w:rsidR="00D8470F" w:rsidRPr="00A77C3D">
        <w:rPr>
          <w:b/>
        </w:rPr>
        <w:t>for</w:t>
      </w:r>
      <w:r w:rsidRPr="00A77C3D">
        <w:rPr>
          <w:b/>
        </w:rPr>
        <w:t xml:space="preserve"> </w:t>
      </w:r>
      <w:r w:rsidR="00D8470F" w:rsidRPr="00A77C3D">
        <w:rPr>
          <w:b/>
        </w:rPr>
        <w:t>submissions</w:t>
      </w:r>
      <w:r w:rsidRPr="00A77C3D">
        <w:rPr>
          <w:b/>
        </w:rPr>
        <w:t xml:space="preserve"> –</w:t>
      </w:r>
      <w:r w:rsidR="00FE2CF2" w:rsidRPr="00A77C3D">
        <w:rPr>
          <w:b/>
        </w:rPr>
        <w:t xml:space="preserve"> </w:t>
      </w:r>
      <w:r w:rsidR="00E203C2" w:rsidRPr="00A77C3D">
        <w:rPr>
          <w:b/>
        </w:rPr>
        <w:t>P</w:t>
      </w:r>
      <w:r w:rsidR="00A91DF1" w:rsidRPr="00A77C3D">
        <w:rPr>
          <w:b/>
        </w:rPr>
        <w:t>roposal</w:t>
      </w:r>
      <w:r w:rsidR="00D056F1" w:rsidRPr="00A77C3D">
        <w:rPr>
          <w:b/>
        </w:rPr>
        <w:t xml:space="preserve"> </w:t>
      </w:r>
      <w:r w:rsidR="00FE2CF2" w:rsidRPr="00A77C3D">
        <w:rPr>
          <w:b/>
        </w:rPr>
        <w:t>P1034</w:t>
      </w:r>
    </w:p>
    <w:p w14:paraId="63289B13" w14:textId="77777777" w:rsidR="00E203C2" w:rsidRPr="00A77C3D" w:rsidRDefault="00E203C2" w:rsidP="00E203C2"/>
    <w:p w14:paraId="27D21436" w14:textId="1BE53B8F" w:rsidR="00D056F1" w:rsidRPr="00A77C3D" w:rsidRDefault="00510E3B" w:rsidP="002432EE">
      <w:pPr>
        <w:pStyle w:val="FSTitle"/>
      </w:pPr>
      <w:r w:rsidRPr="00A77C3D">
        <w:t>Chemical Migration from Packaging into Food</w:t>
      </w:r>
    </w:p>
    <w:p w14:paraId="415E20DA" w14:textId="77777777" w:rsidR="00E203C2" w:rsidRPr="00E81F6E" w:rsidRDefault="00E203C2" w:rsidP="00E203C2">
      <w:pPr>
        <w:pBdr>
          <w:bottom w:val="single" w:sz="12" w:space="1" w:color="auto"/>
        </w:pBdr>
        <w:spacing w:line="280" w:lineRule="exact"/>
        <w:rPr>
          <w:rFonts w:cs="Arial"/>
          <w:bCs/>
        </w:rPr>
      </w:pPr>
    </w:p>
    <w:p w14:paraId="531F1EBD" w14:textId="77777777" w:rsidR="00E203C2" w:rsidRPr="00E81F6E" w:rsidRDefault="00E203C2" w:rsidP="00E203C2"/>
    <w:p w14:paraId="6BEB26CD" w14:textId="0426B54D" w:rsidR="00E063C6" w:rsidRPr="00E47674" w:rsidRDefault="00E063C6" w:rsidP="00E203C2">
      <w:pPr>
        <w:rPr>
          <w:sz w:val="20"/>
          <w:szCs w:val="20"/>
        </w:rPr>
      </w:pPr>
      <w:r w:rsidRPr="00E47674">
        <w:rPr>
          <w:sz w:val="20"/>
          <w:szCs w:val="20"/>
        </w:rPr>
        <w:t>FSANZ</w:t>
      </w:r>
      <w:r w:rsidR="00981914">
        <w:rPr>
          <w:sz w:val="20"/>
          <w:szCs w:val="20"/>
        </w:rPr>
        <w:t xml:space="preserve"> has assessed a </w:t>
      </w:r>
      <w:r w:rsidR="00E47674" w:rsidRPr="00E47674">
        <w:rPr>
          <w:sz w:val="20"/>
          <w:szCs w:val="20"/>
        </w:rPr>
        <w:t>Proposal</w:t>
      </w:r>
      <w:r w:rsidR="00351B07" w:rsidRPr="00E47674">
        <w:rPr>
          <w:sz w:val="20"/>
          <w:szCs w:val="20"/>
        </w:rPr>
        <w:t xml:space="preserve"> </w:t>
      </w:r>
      <w:r w:rsidR="007C174F" w:rsidRPr="00E47674">
        <w:rPr>
          <w:sz w:val="20"/>
          <w:szCs w:val="20"/>
        </w:rPr>
        <w:t>to</w:t>
      </w:r>
      <w:r w:rsidR="00351B07" w:rsidRPr="00E47674">
        <w:rPr>
          <w:sz w:val="20"/>
          <w:szCs w:val="20"/>
        </w:rPr>
        <w:t xml:space="preserve"> </w:t>
      </w:r>
      <w:r w:rsidR="000A2CCE">
        <w:rPr>
          <w:sz w:val="20"/>
          <w:szCs w:val="20"/>
        </w:rPr>
        <w:t>develop or vary</w:t>
      </w:r>
      <w:r w:rsidR="000B47F8">
        <w:rPr>
          <w:sz w:val="20"/>
          <w:szCs w:val="20"/>
        </w:rPr>
        <w:t xml:space="preserve"> </w:t>
      </w:r>
      <w:r w:rsidR="007F002D">
        <w:rPr>
          <w:sz w:val="20"/>
          <w:szCs w:val="20"/>
        </w:rPr>
        <w:t xml:space="preserve">regulatory measures to control </w:t>
      </w:r>
      <w:r w:rsidR="00E47674" w:rsidRPr="00E47674">
        <w:rPr>
          <w:sz w:val="20"/>
          <w:szCs w:val="20"/>
        </w:rPr>
        <w:t>chemical migration from packaging into food</w:t>
      </w:r>
      <w:r w:rsidR="00351B07" w:rsidRPr="00E47674">
        <w:rPr>
          <w:sz w:val="20"/>
          <w:szCs w:val="20"/>
        </w:rPr>
        <w:t xml:space="preserve">. </w:t>
      </w:r>
      <w:r w:rsidR="00D22F3C" w:rsidRPr="00E47674">
        <w:rPr>
          <w:sz w:val="20"/>
          <w:szCs w:val="20"/>
        </w:rPr>
        <w:t xml:space="preserve">Pursuant to section </w:t>
      </w:r>
      <w:r w:rsidR="00E47674" w:rsidRPr="00556352">
        <w:rPr>
          <w:sz w:val="20"/>
          <w:szCs w:val="20"/>
        </w:rPr>
        <w:t>72</w:t>
      </w:r>
      <w:r w:rsidR="00D22F3C" w:rsidRPr="00E47674">
        <w:rPr>
          <w:sz w:val="20"/>
          <w:szCs w:val="20"/>
        </w:rPr>
        <w:t xml:space="preserve"> of the </w:t>
      </w:r>
      <w:r w:rsidR="00D22F3C" w:rsidRPr="00E47674">
        <w:rPr>
          <w:i/>
          <w:sz w:val="20"/>
          <w:szCs w:val="20"/>
        </w:rPr>
        <w:t>Food Standard</w:t>
      </w:r>
      <w:r w:rsidR="00E203C2" w:rsidRPr="00E47674">
        <w:rPr>
          <w:i/>
          <w:sz w:val="20"/>
          <w:szCs w:val="20"/>
        </w:rPr>
        <w:t>s Australia New Zealand Act 1991</w:t>
      </w:r>
      <w:r w:rsidR="00D22F3C" w:rsidRPr="00E47674">
        <w:rPr>
          <w:i/>
          <w:sz w:val="20"/>
          <w:szCs w:val="20"/>
        </w:rPr>
        <w:t xml:space="preserve"> </w:t>
      </w:r>
      <w:r w:rsidR="00E203C2" w:rsidRPr="00E47674">
        <w:rPr>
          <w:sz w:val="20"/>
          <w:szCs w:val="20"/>
        </w:rPr>
        <w:t>(</w:t>
      </w:r>
      <w:r w:rsidR="00D22F3C" w:rsidRPr="00E47674">
        <w:rPr>
          <w:sz w:val="20"/>
          <w:szCs w:val="20"/>
        </w:rPr>
        <w:t>FSANZ Act), FSANZ now c</w:t>
      </w:r>
      <w:r w:rsidR="00E203C2" w:rsidRPr="00E47674">
        <w:rPr>
          <w:sz w:val="20"/>
          <w:szCs w:val="20"/>
        </w:rPr>
        <w:t>alls for submissions to assist</w:t>
      </w:r>
      <w:r w:rsidR="00981914">
        <w:rPr>
          <w:sz w:val="20"/>
          <w:szCs w:val="20"/>
        </w:rPr>
        <w:t xml:space="preserve"> further</w:t>
      </w:r>
      <w:r w:rsidR="00E203C2" w:rsidRPr="00E47674">
        <w:rPr>
          <w:sz w:val="20"/>
          <w:szCs w:val="20"/>
        </w:rPr>
        <w:t xml:space="preserve"> consideration of </w:t>
      </w:r>
      <w:r w:rsidR="00981914">
        <w:rPr>
          <w:sz w:val="20"/>
          <w:szCs w:val="20"/>
        </w:rPr>
        <w:t>the Proposal</w:t>
      </w:r>
      <w:r w:rsidR="00D22F3C" w:rsidRPr="00E47674">
        <w:rPr>
          <w:sz w:val="20"/>
          <w:szCs w:val="20"/>
        </w:rPr>
        <w:t>.</w:t>
      </w:r>
    </w:p>
    <w:p w14:paraId="3CEC82F9" w14:textId="77777777" w:rsidR="00413CA8" w:rsidRPr="007C174F" w:rsidRDefault="00413CA8" w:rsidP="00E203C2">
      <w:pPr>
        <w:rPr>
          <w:sz w:val="20"/>
          <w:szCs w:val="20"/>
        </w:rPr>
      </w:pPr>
    </w:p>
    <w:p w14:paraId="58696A4A"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5F1F7EEF" w14:textId="77777777" w:rsidR="00D81D38" w:rsidRPr="00276026" w:rsidRDefault="00D81D38" w:rsidP="00276026">
      <w:pPr>
        <w:rPr>
          <w:sz w:val="20"/>
          <w:szCs w:val="20"/>
        </w:rPr>
      </w:pPr>
    </w:p>
    <w:p w14:paraId="56557FCC"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914A14F" w14:textId="77777777" w:rsidR="00876515" w:rsidRPr="00276026" w:rsidRDefault="00876515" w:rsidP="00276026">
      <w:pPr>
        <w:rPr>
          <w:color w:val="000000"/>
          <w:sz w:val="20"/>
          <w:szCs w:val="20"/>
          <w:lang w:val="en-AU"/>
        </w:rPr>
      </w:pPr>
    </w:p>
    <w:p w14:paraId="177D1244"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343287E1" w14:textId="77777777" w:rsidR="00E203C2" w:rsidRPr="007C174F" w:rsidRDefault="00E203C2" w:rsidP="00E203C2">
      <w:pPr>
        <w:rPr>
          <w:color w:val="000000"/>
          <w:sz w:val="20"/>
          <w:szCs w:val="20"/>
          <w:lang w:val="en-AU"/>
        </w:rPr>
      </w:pPr>
    </w:p>
    <w:p w14:paraId="1193A007"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76EE57D" w14:textId="77777777" w:rsidR="00E203C2" w:rsidRPr="007C174F" w:rsidRDefault="00E203C2" w:rsidP="00E203C2">
      <w:pPr>
        <w:rPr>
          <w:color w:val="000000"/>
          <w:sz w:val="20"/>
          <w:szCs w:val="20"/>
          <w:lang w:val="en-AU"/>
        </w:rPr>
      </w:pPr>
    </w:p>
    <w:p w14:paraId="2466C80D"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161553D2" w14:textId="77777777" w:rsidR="00E203C2" w:rsidRPr="00E063C6" w:rsidRDefault="00E203C2" w:rsidP="00E203C2">
      <w:pPr>
        <w:rPr>
          <w:color w:val="000000"/>
          <w:lang w:val="en-AU"/>
        </w:rPr>
      </w:pPr>
    </w:p>
    <w:p w14:paraId="4B3D6280" w14:textId="449FB2C8" w:rsidR="00E063C6" w:rsidRPr="00981914"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981914" w:rsidRPr="00981914">
        <w:rPr>
          <w:rFonts w:cs="Arial"/>
          <w:b/>
          <w:bCs/>
          <w:sz w:val="24"/>
        </w:rPr>
        <w:t>5 August 2016</w:t>
      </w:r>
    </w:p>
    <w:p w14:paraId="0CF89FB8" w14:textId="77777777" w:rsidR="00E203C2" w:rsidRPr="007C174F" w:rsidRDefault="00E203C2" w:rsidP="00E203C2">
      <w:pPr>
        <w:rPr>
          <w:sz w:val="20"/>
          <w:szCs w:val="20"/>
          <w:lang w:val="en-AU"/>
        </w:rPr>
      </w:pPr>
    </w:p>
    <w:p w14:paraId="391419CE"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532EC402" w14:textId="77777777" w:rsidR="00E203C2" w:rsidRPr="007C174F" w:rsidRDefault="00E203C2" w:rsidP="00E203C2">
      <w:pPr>
        <w:rPr>
          <w:sz w:val="20"/>
          <w:szCs w:val="20"/>
          <w:lang w:val="en-AU"/>
        </w:rPr>
      </w:pPr>
    </w:p>
    <w:p w14:paraId="44226834"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70466CF" w14:textId="77777777" w:rsidR="00E203C2" w:rsidRPr="003A7725" w:rsidRDefault="00E203C2" w:rsidP="003A7725">
      <w:pPr>
        <w:rPr>
          <w:sz w:val="20"/>
          <w:lang w:val="en-AU"/>
        </w:rPr>
      </w:pPr>
    </w:p>
    <w:p w14:paraId="7EE8FDD2"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4B5E4D69" w14:textId="77777777" w:rsidR="00E203C2" w:rsidRPr="007C174F" w:rsidRDefault="00E203C2" w:rsidP="00E203C2">
      <w:pPr>
        <w:rPr>
          <w:sz w:val="20"/>
          <w:szCs w:val="20"/>
          <w:lang w:val="en-AU"/>
        </w:rPr>
      </w:pPr>
    </w:p>
    <w:p w14:paraId="7BCC932D"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23723F9"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486C069C" w14:textId="77777777" w:rsidR="00E203C2" w:rsidRPr="007C174F" w:rsidRDefault="00685269" w:rsidP="00E203C2">
      <w:pPr>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734671F3"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708E6AF7"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22AA70F4" w14:textId="77777777" w:rsidR="00D22F3C" w:rsidRPr="007C174F" w:rsidRDefault="00D22F3C" w:rsidP="00203540">
      <w:pPr>
        <w:tabs>
          <w:tab w:val="left" w:pos="4536"/>
        </w:tabs>
        <w:rPr>
          <w:rFonts w:cs="Arial"/>
          <w:bCs/>
          <w:color w:val="FF0000"/>
          <w:sz w:val="20"/>
          <w:szCs w:val="20"/>
        </w:rPr>
      </w:pPr>
    </w:p>
    <w:p w14:paraId="7FBC17C7"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6DE93702"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26F04263" w14:textId="77777777" w:rsidR="00562917" w:rsidRPr="00AE766D" w:rsidRDefault="00562917" w:rsidP="00051ED9">
      <w:pPr>
        <w:rPr>
          <w:rFonts w:cs="Arial"/>
        </w:rPr>
      </w:pPr>
    </w:p>
    <w:p w14:paraId="449A43F4" w14:textId="77777777" w:rsidR="004740DA" w:rsidRPr="00981914" w:rsidRDefault="00051ED9">
      <w:pPr>
        <w:pStyle w:val="TOC1"/>
        <w:tabs>
          <w:tab w:val="right" w:leader="dot" w:pos="9060"/>
        </w:tabs>
        <w:rPr>
          <w:rFonts w:ascii="Arial" w:eastAsiaTheme="minorEastAsia" w:hAnsi="Arial" w:cs="Arial"/>
          <w:b w:val="0"/>
          <w:bCs w:val="0"/>
          <w:caps w:val="0"/>
          <w:noProof/>
          <w:sz w:val="22"/>
          <w:szCs w:val="22"/>
          <w:lang w:eastAsia="en-GB" w:bidi="ar-SA"/>
        </w:rPr>
      </w:pPr>
      <w:r w:rsidRPr="00981914">
        <w:rPr>
          <w:rFonts w:ascii="Arial" w:hAnsi="Arial" w:cs="Arial"/>
        </w:rPr>
        <w:fldChar w:fldCharType="begin"/>
      </w:r>
      <w:r w:rsidRPr="00981914">
        <w:rPr>
          <w:rFonts w:ascii="Arial" w:hAnsi="Arial" w:cs="Arial"/>
        </w:rPr>
        <w:instrText xml:space="preserve"> TOC \o "1-3" \h \z \u </w:instrText>
      </w:r>
      <w:r w:rsidRPr="00981914">
        <w:rPr>
          <w:rFonts w:ascii="Arial" w:hAnsi="Arial" w:cs="Arial"/>
        </w:rPr>
        <w:fldChar w:fldCharType="separate"/>
      </w:r>
      <w:hyperlink w:anchor="_Toc452645318" w:history="1">
        <w:r w:rsidR="004740DA" w:rsidRPr="00981914">
          <w:rPr>
            <w:rStyle w:val="Hyperlink"/>
            <w:rFonts w:cs="Arial"/>
            <w:noProof/>
          </w:rPr>
          <w:t>Executive summary</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_Toc452645318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2</w:t>
        </w:r>
        <w:r w:rsidR="004740DA" w:rsidRPr="00981914">
          <w:rPr>
            <w:rFonts w:ascii="Arial" w:hAnsi="Arial" w:cs="Arial"/>
            <w:noProof/>
            <w:webHidden/>
          </w:rPr>
          <w:fldChar w:fldCharType="end"/>
        </w:r>
      </w:hyperlink>
    </w:p>
    <w:p w14:paraId="6D2DC72C" w14:textId="77777777" w:rsidR="004740DA" w:rsidRPr="00981914" w:rsidRDefault="00462A7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2645319" w:history="1">
        <w:r w:rsidR="004740DA" w:rsidRPr="00981914">
          <w:rPr>
            <w:rStyle w:val="Hyperlink"/>
            <w:rFonts w:cs="Arial"/>
            <w:noProof/>
          </w:rPr>
          <w:t>1</w:t>
        </w:r>
        <w:r w:rsidR="004740DA" w:rsidRPr="00981914">
          <w:rPr>
            <w:rFonts w:ascii="Arial" w:eastAsiaTheme="minorEastAsia" w:hAnsi="Arial" w:cs="Arial"/>
            <w:b w:val="0"/>
            <w:bCs w:val="0"/>
            <w:caps w:val="0"/>
            <w:noProof/>
            <w:sz w:val="22"/>
            <w:szCs w:val="22"/>
            <w:lang w:eastAsia="en-GB" w:bidi="ar-SA"/>
          </w:rPr>
          <w:tab/>
        </w:r>
        <w:r w:rsidR="004740DA" w:rsidRPr="00981914">
          <w:rPr>
            <w:rStyle w:val="Hyperlink"/>
            <w:rFonts w:cs="Arial"/>
            <w:noProof/>
          </w:rPr>
          <w:t>Introduction</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_Toc452645319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3</w:t>
        </w:r>
        <w:r w:rsidR="004740DA" w:rsidRPr="00981914">
          <w:rPr>
            <w:rFonts w:ascii="Arial" w:hAnsi="Arial" w:cs="Arial"/>
            <w:noProof/>
            <w:webHidden/>
          </w:rPr>
          <w:fldChar w:fldCharType="end"/>
        </w:r>
      </w:hyperlink>
    </w:p>
    <w:p w14:paraId="103ED388" w14:textId="77777777" w:rsidR="004740DA" w:rsidRPr="00981914" w:rsidRDefault="00462A7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2645320" w:history="1">
        <w:r w:rsidR="004740DA" w:rsidRPr="00981914">
          <w:rPr>
            <w:rStyle w:val="Hyperlink"/>
            <w:rFonts w:cs="Arial"/>
            <w:noProof/>
          </w:rPr>
          <w:t>1.1</w:t>
        </w:r>
        <w:r w:rsidR="004740DA" w:rsidRPr="00981914">
          <w:rPr>
            <w:rFonts w:ascii="Arial" w:eastAsiaTheme="minorEastAsia" w:hAnsi="Arial" w:cs="Arial"/>
            <w:smallCaps w:val="0"/>
            <w:noProof/>
            <w:sz w:val="22"/>
            <w:szCs w:val="22"/>
            <w:lang w:eastAsia="en-GB" w:bidi="ar-SA"/>
          </w:rPr>
          <w:tab/>
        </w:r>
        <w:r w:rsidR="004740DA" w:rsidRPr="00981914">
          <w:rPr>
            <w:rStyle w:val="Hyperlink"/>
            <w:rFonts w:cs="Arial"/>
            <w:noProof/>
          </w:rPr>
          <w:t>The Proposal</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_Toc452645320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3</w:t>
        </w:r>
        <w:r w:rsidR="004740DA" w:rsidRPr="00981914">
          <w:rPr>
            <w:rFonts w:ascii="Arial" w:hAnsi="Arial" w:cs="Arial"/>
            <w:noProof/>
            <w:webHidden/>
          </w:rPr>
          <w:fldChar w:fldCharType="end"/>
        </w:r>
      </w:hyperlink>
    </w:p>
    <w:p w14:paraId="5545B523" w14:textId="77777777" w:rsidR="004740DA" w:rsidRPr="00981914" w:rsidRDefault="00462A7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2645321" w:history="1">
        <w:r w:rsidR="004740DA" w:rsidRPr="00981914">
          <w:rPr>
            <w:rStyle w:val="Hyperlink"/>
            <w:rFonts w:cs="Arial"/>
            <w:noProof/>
          </w:rPr>
          <w:t>1.2</w:t>
        </w:r>
        <w:r w:rsidR="004740DA" w:rsidRPr="00981914">
          <w:rPr>
            <w:rFonts w:ascii="Arial" w:eastAsiaTheme="minorEastAsia" w:hAnsi="Arial" w:cs="Arial"/>
            <w:smallCaps w:val="0"/>
            <w:noProof/>
            <w:sz w:val="22"/>
            <w:szCs w:val="22"/>
            <w:lang w:eastAsia="en-GB" w:bidi="ar-SA"/>
          </w:rPr>
          <w:tab/>
        </w:r>
        <w:r w:rsidR="004740DA" w:rsidRPr="00981914">
          <w:rPr>
            <w:rStyle w:val="Hyperlink"/>
            <w:rFonts w:cs="Arial"/>
            <w:noProof/>
          </w:rPr>
          <w:t>The current regulatory framework</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_Toc452645321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4</w:t>
        </w:r>
        <w:r w:rsidR="004740DA" w:rsidRPr="00981914">
          <w:rPr>
            <w:rFonts w:ascii="Arial" w:hAnsi="Arial" w:cs="Arial"/>
            <w:noProof/>
            <w:webHidden/>
          </w:rPr>
          <w:fldChar w:fldCharType="end"/>
        </w:r>
      </w:hyperlink>
    </w:p>
    <w:p w14:paraId="6E42EA69"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22" w:history="1">
        <w:r w:rsidR="004740DA" w:rsidRPr="00981914">
          <w:rPr>
            <w:rStyle w:val="Hyperlink"/>
            <w:rFonts w:cs="Arial"/>
            <w:noProof/>
          </w:rPr>
          <w:t>1.2.1</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The Code provisions</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_Toc452645322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5</w:t>
        </w:r>
        <w:r w:rsidR="004740DA" w:rsidRPr="00981914">
          <w:rPr>
            <w:rFonts w:ascii="Arial" w:hAnsi="Arial" w:cs="Arial"/>
            <w:noProof/>
            <w:webHidden/>
          </w:rPr>
          <w:fldChar w:fldCharType="end"/>
        </w:r>
      </w:hyperlink>
    </w:p>
    <w:p w14:paraId="1827B12A" w14:textId="77777777" w:rsidR="004740DA" w:rsidRPr="00981914" w:rsidRDefault="00462A7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2645323" w:history="1">
        <w:r w:rsidR="004740DA" w:rsidRPr="00981914">
          <w:rPr>
            <w:rStyle w:val="Hyperlink"/>
            <w:rFonts w:cs="Arial"/>
            <w:noProof/>
            <w:u w:color="FFFF00"/>
          </w:rPr>
          <w:t>1.3</w:t>
        </w:r>
        <w:r w:rsidR="004740DA" w:rsidRPr="00981914">
          <w:rPr>
            <w:rFonts w:ascii="Arial" w:eastAsiaTheme="minorEastAsia" w:hAnsi="Arial" w:cs="Arial"/>
            <w:smallCaps w:val="0"/>
            <w:noProof/>
            <w:sz w:val="22"/>
            <w:szCs w:val="22"/>
            <w:lang w:eastAsia="en-GB" w:bidi="ar-SA"/>
          </w:rPr>
          <w:tab/>
        </w:r>
        <w:r w:rsidR="004740DA" w:rsidRPr="00981914">
          <w:rPr>
            <w:rStyle w:val="Hyperlink"/>
            <w:rFonts w:cs="Arial"/>
            <w:noProof/>
            <w:u w:color="FFFF00"/>
          </w:rPr>
          <w:t xml:space="preserve">Reasons for </w:t>
        </w:r>
        <w:r w:rsidR="004740DA" w:rsidRPr="00981914">
          <w:rPr>
            <w:rStyle w:val="Hyperlink"/>
            <w:rFonts w:cs="Arial"/>
            <w:noProof/>
          </w:rPr>
          <w:t>preparing the Proposal</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_Toc452645323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5</w:t>
        </w:r>
        <w:r w:rsidR="004740DA" w:rsidRPr="00981914">
          <w:rPr>
            <w:rFonts w:ascii="Arial" w:hAnsi="Arial" w:cs="Arial"/>
            <w:noProof/>
            <w:webHidden/>
          </w:rPr>
          <w:fldChar w:fldCharType="end"/>
        </w:r>
      </w:hyperlink>
    </w:p>
    <w:p w14:paraId="45C444D7" w14:textId="77777777" w:rsidR="004740DA" w:rsidRPr="00981914" w:rsidRDefault="00462A7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2645324" w:history="1">
        <w:r w:rsidR="004740DA" w:rsidRPr="00981914">
          <w:rPr>
            <w:rStyle w:val="Hyperlink"/>
            <w:rFonts w:cs="Arial"/>
            <w:noProof/>
          </w:rPr>
          <w:t>1.4</w:t>
        </w:r>
        <w:r w:rsidR="004740DA" w:rsidRPr="00981914">
          <w:rPr>
            <w:rFonts w:ascii="Arial" w:eastAsiaTheme="minorEastAsia" w:hAnsi="Arial" w:cs="Arial"/>
            <w:smallCaps w:val="0"/>
            <w:noProof/>
            <w:sz w:val="22"/>
            <w:szCs w:val="22"/>
            <w:lang w:eastAsia="en-GB" w:bidi="ar-SA"/>
          </w:rPr>
          <w:tab/>
        </w:r>
        <w:r w:rsidR="004740DA" w:rsidRPr="00981914">
          <w:rPr>
            <w:rStyle w:val="Hyperlink"/>
            <w:rFonts w:cs="Arial"/>
            <w:noProof/>
          </w:rPr>
          <w:t>Procedure for assessment</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_Toc452645324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5</w:t>
        </w:r>
        <w:r w:rsidR="004740DA" w:rsidRPr="00981914">
          <w:rPr>
            <w:rFonts w:ascii="Arial" w:hAnsi="Arial" w:cs="Arial"/>
            <w:noProof/>
            <w:webHidden/>
          </w:rPr>
          <w:fldChar w:fldCharType="end"/>
        </w:r>
      </w:hyperlink>
    </w:p>
    <w:p w14:paraId="1591C8DF" w14:textId="77777777" w:rsidR="004740DA" w:rsidRPr="00981914" w:rsidRDefault="00462A7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2645325" w:history="1">
        <w:r w:rsidR="004740DA" w:rsidRPr="00981914">
          <w:rPr>
            <w:rStyle w:val="Hyperlink"/>
            <w:rFonts w:cs="Arial"/>
            <w:noProof/>
          </w:rPr>
          <w:t>2</w:t>
        </w:r>
        <w:r w:rsidR="004740DA" w:rsidRPr="00981914">
          <w:rPr>
            <w:rFonts w:ascii="Arial" w:eastAsiaTheme="minorEastAsia" w:hAnsi="Arial" w:cs="Arial"/>
            <w:b w:val="0"/>
            <w:bCs w:val="0"/>
            <w:caps w:val="0"/>
            <w:noProof/>
            <w:sz w:val="22"/>
            <w:szCs w:val="22"/>
            <w:lang w:eastAsia="en-GB" w:bidi="ar-SA"/>
          </w:rPr>
          <w:tab/>
        </w:r>
        <w:r w:rsidR="004740DA" w:rsidRPr="00981914">
          <w:rPr>
            <w:rStyle w:val="Hyperlink"/>
            <w:rFonts w:cs="Arial"/>
            <w:noProof/>
          </w:rPr>
          <w:t>Summary of the assessment</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_Toc452645325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5</w:t>
        </w:r>
        <w:r w:rsidR="004740DA" w:rsidRPr="00981914">
          <w:rPr>
            <w:rFonts w:ascii="Arial" w:hAnsi="Arial" w:cs="Arial"/>
            <w:noProof/>
            <w:webHidden/>
          </w:rPr>
          <w:fldChar w:fldCharType="end"/>
        </w:r>
      </w:hyperlink>
    </w:p>
    <w:p w14:paraId="14D3C18C" w14:textId="77777777" w:rsidR="004740DA" w:rsidRPr="00981914" w:rsidRDefault="00462A7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2645326" w:history="1">
        <w:r w:rsidR="004740DA" w:rsidRPr="00981914">
          <w:rPr>
            <w:rStyle w:val="Hyperlink"/>
            <w:rFonts w:cs="Arial"/>
            <w:noProof/>
          </w:rPr>
          <w:t>2.1</w:t>
        </w:r>
        <w:r w:rsidR="004740DA" w:rsidRPr="00981914">
          <w:rPr>
            <w:rFonts w:ascii="Arial" w:eastAsiaTheme="minorEastAsia" w:hAnsi="Arial" w:cs="Arial"/>
            <w:smallCaps w:val="0"/>
            <w:noProof/>
            <w:sz w:val="22"/>
            <w:szCs w:val="22"/>
            <w:lang w:eastAsia="en-GB" w:bidi="ar-SA"/>
          </w:rPr>
          <w:tab/>
        </w:r>
        <w:r w:rsidR="004740DA" w:rsidRPr="00981914">
          <w:rPr>
            <w:rStyle w:val="Hyperlink"/>
            <w:rFonts w:cs="Arial"/>
            <w:noProof/>
          </w:rPr>
          <w:t>Summary of issues raised in submissions</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_Toc452645326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5</w:t>
        </w:r>
        <w:r w:rsidR="004740DA" w:rsidRPr="00981914">
          <w:rPr>
            <w:rFonts w:ascii="Arial" w:hAnsi="Arial" w:cs="Arial"/>
            <w:noProof/>
            <w:webHidden/>
          </w:rPr>
          <w:fldChar w:fldCharType="end"/>
        </w:r>
      </w:hyperlink>
    </w:p>
    <w:p w14:paraId="1AB4C39F" w14:textId="77777777" w:rsidR="004740DA" w:rsidRPr="00981914" w:rsidRDefault="00462A7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2645327" w:history="1">
        <w:r w:rsidR="004740DA" w:rsidRPr="00981914">
          <w:rPr>
            <w:rStyle w:val="Hyperlink"/>
            <w:rFonts w:cs="Arial"/>
            <w:noProof/>
          </w:rPr>
          <w:t>2.2</w:t>
        </w:r>
        <w:r w:rsidR="004740DA" w:rsidRPr="00981914">
          <w:rPr>
            <w:rFonts w:ascii="Arial" w:eastAsiaTheme="minorEastAsia" w:hAnsi="Arial" w:cs="Arial"/>
            <w:smallCaps w:val="0"/>
            <w:noProof/>
            <w:sz w:val="22"/>
            <w:szCs w:val="22"/>
            <w:lang w:eastAsia="en-GB" w:bidi="ar-SA"/>
          </w:rPr>
          <w:tab/>
        </w:r>
        <w:r w:rsidR="004740DA" w:rsidRPr="00981914">
          <w:rPr>
            <w:rStyle w:val="Hyperlink"/>
            <w:rFonts w:cs="Arial"/>
            <w:noProof/>
          </w:rPr>
          <w:t>Risk assessment</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_Toc452645327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6</w:t>
        </w:r>
        <w:r w:rsidR="004740DA" w:rsidRPr="00981914">
          <w:rPr>
            <w:rFonts w:ascii="Arial" w:hAnsi="Arial" w:cs="Arial"/>
            <w:noProof/>
            <w:webHidden/>
          </w:rPr>
          <w:fldChar w:fldCharType="end"/>
        </w:r>
      </w:hyperlink>
    </w:p>
    <w:p w14:paraId="23C1613D"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28" w:history="1">
        <w:r w:rsidR="004740DA" w:rsidRPr="00981914">
          <w:rPr>
            <w:rStyle w:val="Hyperlink"/>
            <w:rFonts w:cs="Arial"/>
            <w:noProof/>
          </w:rPr>
          <w:t>2.2.1</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Risk profile</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_Toc452645328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6</w:t>
        </w:r>
        <w:r w:rsidR="004740DA" w:rsidRPr="00981914">
          <w:rPr>
            <w:rFonts w:ascii="Arial" w:hAnsi="Arial" w:cs="Arial"/>
            <w:noProof/>
            <w:webHidden/>
          </w:rPr>
          <w:fldChar w:fldCharType="end"/>
        </w:r>
      </w:hyperlink>
    </w:p>
    <w:p w14:paraId="4CBC16A9"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29" w:history="1">
        <w:r w:rsidR="004740DA" w:rsidRPr="00981914">
          <w:rPr>
            <w:rStyle w:val="Hyperlink"/>
            <w:rFonts w:cs="Arial"/>
            <w:noProof/>
          </w:rPr>
          <w:t>2.2.2</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Analysis of control measures and market information</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_Toc452645329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8</w:t>
        </w:r>
        <w:r w:rsidR="004740DA" w:rsidRPr="00981914">
          <w:rPr>
            <w:rFonts w:ascii="Arial" w:hAnsi="Arial" w:cs="Arial"/>
            <w:noProof/>
            <w:webHidden/>
          </w:rPr>
          <w:fldChar w:fldCharType="end"/>
        </w:r>
      </w:hyperlink>
    </w:p>
    <w:p w14:paraId="66BE1F65" w14:textId="77777777" w:rsidR="004740DA" w:rsidRPr="00981914" w:rsidRDefault="00462A77">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52645330" w:history="1">
        <w:r w:rsidR="004740DA" w:rsidRPr="00981914">
          <w:rPr>
            <w:rStyle w:val="Hyperlink"/>
            <w:rFonts w:cs="Arial"/>
            <w:noProof/>
          </w:rPr>
          <w:t xml:space="preserve">2.2.3 </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The residual risk</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_Toc452645330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9</w:t>
        </w:r>
        <w:r w:rsidR="004740DA" w:rsidRPr="00981914">
          <w:rPr>
            <w:rFonts w:ascii="Arial" w:hAnsi="Arial" w:cs="Arial"/>
            <w:noProof/>
            <w:webHidden/>
          </w:rPr>
          <w:fldChar w:fldCharType="end"/>
        </w:r>
      </w:hyperlink>
    </w:p>
    <w:p w14:paraId="26C742E7" w14:textId="77777777" w:rsidR="004740DA" w:rsidRPr="00981914" w:rsidRDefault="00462A7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2645331" w:history="1">
        <w:r w:rsidR="004740DA" w:rsidRPr="00981914">
          <w:rPr>
            <w:rStyle w:val="Hyperlink"/>
            <w:rFonts w:cs="Arial"/>
            <w:noProof/>
          </w:rPr>
          <w:t>2.3</w:t>
        </w:r>
        <w:r w:rsidR="004740DA" w:rsidRPr="00981914">
          <w:rPr>
            <w:rFonts w:ascii="Arial" w:eastAsiaTheme="minorEastAsia" w:hAnsi="Arial" w:cs="Arial"/>
            <w:smallCaps w:val="0"/>
            <w:noProof/>
            <w:sz w:val="22"/>
            <w:szCs w:val="22"/>
            <w:lang w:eastAsia="en-GB" w:bidi="ar-SA"/>
          </w:rPr>
          <w:tab/>
        </w:r>
        <w:r w:rsidR="004740DA" w:rsidRPr="00981914">
          <w:rPr>
            <w:rStyle w:val="Hyperlink"/>
            <w:rFonts w:cs="Arial"/>
            <w:noProof/>
          </w:rPr>
          <w:t>Risk management</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_Toc452645331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10</w:t>
        </w:r>
        <w:r w:rsidR="004740DA" w:rsidRPr="00981914">
          <w:rPr>
            <w:rFonts w:ascii="Arial" w:hAnsi="Arial" w:cs="Arial"/>
            <w:noProof/>
            <w:webHidden/>
          </w:rPr>
          <w:fldChar w:fldCharType="end"/>
        </w:r>
      </w:hyperlink>
    </w:p>
    <w:p w14:paraId="455E7042"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32" w:history="1">
        <w:r w:rsidR="004740DA" w:rsidRPr="00981914">
          <w:rPr>
            <w:rStyle w:val="Hyperlink"/>
            <w:rFonts w:cs="Arial"/>
            <w:noProof/>
          </w:rPr>
          <w:t>2.3.1</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Option 1: Status quo</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_Toc452645332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11</w:t>
        </w:r>
        <w:r w:rsidR="004740DA" w:rsidRPr="00981914">
          <w:rPr>
            <w:rFonts w:ascii="Arial" w:hAnsi="Arial" w:cs="Arial"/>
            <w:noProof/>
            <w:webHidden/>
          </w:rPr>
          <w:fldChar w:fldCharType="end"/>
        </w:r>
      </w:hyperlink>
    </w:p>
    <w:p w14:paraId="530573BC"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33" w:history="1">
        <w:r w:rsidR="004740DA" w:rsidRPr="00981914">
          <w:rPr>
            <w:rStyle w:val="Hyperlink"/>
            <w:rFonts w:cs="Arial"/>
            <w:noProof/>
          </w:rPr>
          <w:t>2.3.2</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Option 2: Prescriptive approach</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_Toc452645333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12</w:t>
        </w:r>
        <w:r w:rsidR="004740DA" w:rsidRPr="00981914">
          <w:rPr>
            <w:rFonts w:ascii="Arial" w:hAnsi="Arial" w:cs="Arial"/>
            <w:noProof/>
            <w:webHidden/>
          </w:rPr>
          <w:fldChar w:fldCharType="end"/>
        </w:r>
      </w:hyperlink>
    </w:p>
    <w:p w14:paraId="1335D262"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34" w:history="1">
        <w:r w:rsidR="004740DA" w:rsidRPr="00981914">
          <w:rPr>
            <w:rStyle w:val="Hyperlink"/>
            <w:rFonts w:cs="Arial"/>
            <w:noProof/>
          </w:rPr>
          <w:t>2.3.3</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Option 3: Non-regulatory approaches</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_Toc452645334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13</w:t>
        </w:r>
        <w:r w:rsidR="004740DA" w:rsidRPr="00981914">
          <w:rPr>
            <w:rFonts w:ascii="Arial" w:hAnsi="Arial" w:cs="Arial"/>
            <w:noProof/>
            <w:webHidden/>
          </w:rPr>
          <w:fldChar w:fldCharType="end"/>
        </w:r>
      </w:hyperlink>
    </w:p>
    <w:p w14:paraId="12D4C056"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35" w:history="1">
        <w:r w:rsidR="004740DA" w:rsidRPr="00981914">
          <w:rPr>
            <w:rStyle w:val="Hyperlink"/>
            <w:rFonts w:cs="Arial"/>
            <w:noProof/>
          </w:rPr>
          <w:t>2.3.4</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Option 4: Graduated approach</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_Toc452645335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16</w:t>
        </w:r>
        <w:r w:rsidR="004740DA" w:rsidRPr="00981914">
          <w:rPr>
            <w:rFonts w:ascii="Arial" w:hAnsi="Arial" w:cs="Arial"/>
            <w:noProof/>
            <w:webHidden/>
          </w:rPr>
          <w:fldChar w:fldCharType="end"/>
        </w:r>
      </w:hyperlink>
    </w:p>
    <w:p w14:paraId="06E368B4"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36" w:history="1">
        <w:r w:rsidR="004740DA" w:rsidRPr="00981914">
          <w:rPr>
            <w:rStyle w:val="Hyperlink"/>
            <w:rFonts w:cs="Arial"/>
            <w:noProof/>
          </w:rPr>
          <w:t>2.3.5</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 xml:space="preserve"> Post-market surveillance</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_Toc452645336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18</w:t>
        </w:r>
        <w:r w:rsidR="004740DA" w:rsidRPr="00981914">
          <w:rPr>
            <w:rFonts w:ascii="Arial" w:hAnsi="Arial" w:cs="Arial"/>
            <w:noProof/>
            <w:webHidden/>
          </w:rPr>
          <w:fldChar w:fldCharType="end"/>
        </w:r>
      </w:hyperlink>
    </w:p>
    <w:p w14:paraId="5D34837A"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37" w:history="1">
        <w:r w:rsidR="004740DA" w:rsidRPr="00981914">
          <w:rPr>
            <w:rStyle w:val="Hyperlink"/>
            <w:rFonts w:cs="Arial"/>
            <w:noProof/>
          </w:rPr>
          <w:t>2.3.6</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 xml:space="preserve"> Additional risk management questions</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_Toc452645337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19</w:t>
        </w:r>
        <w:r w:rsidR="004740DA" w:rsidRPr="00981914">
          <w:rPr>
            <w:rFonts w:ascii="Arial" w:hAnsi="Arial" w:cs="Arial"/>
            <w:noProof/>
            <w:webHidden/>
          </w:rPr>
          <w:fldChar w:fldCharType="end"/>
        </w:r>
      </w:hyperlink>
    </w:p>
    <w:p w14:paraId="42A4C11A" w14:textId="77777777" w:rsidR="004740DA" w:rsidRPr="00981914" w:rsidRDefault="00462A7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2645338" w:history="1">
        <w:r w:rsidR="004740DA" w:rsidRPr="00981914">
          <w:rPr>
            <w:rStyle w:val="Hyperlink"/>
            <w:rFonts w:cs="Arial"/>
            <w:noProof/>
          </w:rPr>
          <w:t>2.4</w:t>
        </w:r>
        <w:r w:rsidR="004740DA" w:rsidRPr="00981914">
          <w:rPr>
            <w:rFonts w:ascii="Arial" w:eastAsiaTheme="minorEastAsia" w:hAnsi="Arial" w:cs="Arial"/>
            <w:smallCaps w:val="0"/>
            <w:noProof/>
            <w:sz w:val="22"/>
            <w:szCs w:val="22"/>
            <w:lang w:eastAsia="en-GB" w:bidi="ar-SA"/>
          </w:rPr>
          <w:tab/>
        </w:r>
        <w:r w:rsidR="004740DA" w:rsidRPr="00981914">
          <w:rPr>
            <w:rStyle w:val="Hyperlink"/>
            <w:rFonts w:cs="Arial"/>
            <w:noProof/>
          </w:rPr>
          <w:t>Risk communication</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_Toc452645338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19</w:t>
        </w:r>
        <w:r w:rsidR="004740DA" w:rsidRPr="00981914">
          <w:rPr>
            <w:rFonts w:ascii="Arial" w:hAnsi="Arial" w:cs="Arial"/>
            <w:noProof/>
            <w:webHidden/>
          </w:rPr>
          <w:fldChar w:fldCharType="end"/>
        </w:r>
      </w:hyperlink>
    </w:p>
    <w:p w14:paraId="4590DDDC"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39" w:history="1">
        <w:r w:rsidR="004740DA" w:rsidRPr="00981914">
          <w:rPr>
            <w:rStyle w:val="Hyperlink"/>
            <w:rFonts w:cs="Arial"/>
            <w:noProof/>
          </w:rPr>
          <w:t>2.4.1</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Advisory groups</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_Toc452645339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19</w:t>
        </w:r>
        <w:r w:rsidR="004740DA" w:rsidRPr="00981914">
          <w:rPr>
            <w:rFonts w:ascii="Arial" w:hAnsi="Arial" w:cs="Arial"/>
            <w:noProof/>
            <w:webHidden/>
          </w:rPr>
          <w:fldChar w:fldCharType="end"/>
        </w:r>
      </w:hyperlink>
    </w:p>
    <w:p w14:paraId="619C0B79"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40" w:history="1">
        <w:r w:rsidR="004740DA" w:rsidRPr="00981914">
          <w:rPr>
            <w:rStyle w:val="Hyperlink"/>
            <w:rFonts w:cs="Arial"/>
            <w:noProof/>
          </w:rPr>
          <w:t>2.4.2</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World Trade Organization (WTO)</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_Toc452645340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20</w:t>
        </w:r>
        <w:r w:rsidR="004740DA" w:rsidRPr="00981914">
          <w:rPr>
            <w:rFonts w:ascii="Arial" w:hAnsi="Arial" w:cs="Arial"/>
            <w:noProof/>
            <w:webHidden/>
          </w:rPr>
          <w:fldChar w:fldCharType="end"/>
        </w:r>
      </w:hyperlink>
    </w:p>
    <w:p w14:paraId="3A7116E5" w14:textId="77777777" w:rsidR="004740DA" w:rsidRPr="00981914" w:rsidRDefault="00462A7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2645341" w:history="1">
        <w:r w:rsidR="004740DA" w:rsidRPr="00981914">
          <w:rPr>
            <w:rStyle w:val="Hyperlink"/>
            <w:rFonts w:cs="Arial"/>
            <w:noProof/>
          </w:rPr>
          <w:t>2.5</w:t>
        </w:r>
        <w:r w:rsidR="004740DA" w:rsidRPr="00981914">
          <w:rPr>
            <w:rFonts w:ascii="Arial" w:eastAsiaTheme="minorEastAsia" w:hAnsi="Arial" w:cs="Arial"/>
            <w:smallCaps w:val="0"/>
            <w:noProof/>
            <w:sz w:val="22"/>
            <w:szCs w:val="22"/>
            <w:lang w:eastAsia="en-GB" w:bidi="ar-SA"/>
          </w:rPr>
          <w:tab/>
        </w:r>
        <w:r w:rsidR="004740DA" w:rsidRPr="00981914">
          <w:rPr>
            <w:rStyle w:val="Hyperlink"/>
            <w:rFonts w:cs="Arial"/>
            <w:noProof/>
          </w:rPr>
          <w:t>FSANZ Act assessment requirements</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_Toc452645341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20</w:t>
        </w:r>
        <w:r w:rsidR="004740DA" w:rsidRPr="00981914">
          <w:rPr>
            <w:rFonts w:ascii="Arial" w:hAnsi="Arial" w:cs="Arial"/>
            <w:noProof/>
            <w:webHidden/>
          </w:rPr>
          <w:fldChar w:fldCharType="end"/>
        </w:r>
      </w:hyperlink>
    </w:p>
    <w:p w14:paraId="1F882549"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42" w:history="1">
        <w:r w:rsidR="004740DA" w:rsidRPr="00981914">
          <w:rPr>
            <w:rStyle w:val="Hyperlink"/>
            <w:rFonts w:cs="Arial"/>
            <w:noProof/>
          </w:rPr>
          <w:t>2.5.1</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Section 59</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_Toc452645342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20</w:t>
        </w:r>
        <w:r w:rsidR="004740DA" w:rsidRPr="00981914">
          <w:rPr>
            <w:rFonts w:ascii="Arial" w:hAnsi="Arial" w:cs="Arial"/>
            <w:noProof/>
            <w:webHidden/>
          </w:rPr>
          <w:fldChar w:fldCharType="end"/>
        </w:r>
      </w:hyperlink>
    </w:p>
    <w:p w14:paraId="450B300B" w14:textId="77777777" w:rsidR="004740DA" w:rsidRPr="00981914" w:rsidRDefault="00462A77">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52645343" w:history="1">
        <w:r w:rsidR="004740DA" w:rsidRPr="00981914">
          <w:rPr>
            <w:rStyle w:val="Hyperlink"/>
            <w:rFonts w:cs="Arial"/>
            <w:noProof/>
          </w:rPr>
          <w:t>2.5.2.</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Subsection 18(1)</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_Toc452645343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21</w:t>
        </w:r>
        <w:r w:rsidR="004740DA" w:rsidRPr="00981914">
          <w:rPr>
            <w:rFonts w:ascii="Arial" w:hAnsi="Arial" w:cs="Arial"/>
            <w:noProof/>
            <w:webHidden/>
          </w:rPr>
          <w:fldChar w:fldCharType="end"/>
        </w:r>
      </w:hyperlink>
    </w:p>
    <w:p w14:paraId="593EFD9F" w14:textId="77777777" w:rsidR="004740DA" w:rsidRPr="00981914" w:rsidRDefault="00462A7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2645344" w:history="1">
        <w:r w:rsidR="004740DA" w:rsidRPr="00981914">
          <w:rPr>
            <w:rStyle w:val="Hyperlink"/>
            <w:rFonts w:cs="Arial"/>
            <w:noProof/>
          </w:rPr>
          <w:t>2.5.3</w:t>
        </w:r>
        <w:r w:rsidR="004740DA" w:rsidRPr="00981914">
          <w:rPr>
            <w:rFonts w:ascii="Arial" w:eastAsiaTheme="minorEastAsia" w:hAnsi="Arial" w:cs="Arial"/>
            <w:i w:val="0"/>
            <w:iCs w:val="0"/>
            <w:noProof/>
            <w:sz w:val="22"/>
            <w:szCs w:val="22"/>
            <w:lang w:eastAsia="en-GB" w:bidi="ar-SA"/>
          </w:rPr>
          <w:tab/>
        </w:r>
        <w:r w:rsidR="004740DA" w:rsidRPr="00981914">
          <w:rPr>
            <w:rStyle w:val="Hyperlink"/>
            <w:rFonts w:cs="Arial"/>
            <w:noProof/>
          </w:rPr>
          <w:t>Subsection 18(2) considerations</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_Toc452645344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22</w:t>
        </w:r>
        <w:r w:rsidR="004740DA" w:rsidRPr="00981914">
          <w:rPr>
            <w:rFonts w:ascii="Arial" w:hAnsi="Arial" w:cs="Arial"/>
            <w:noProof/>
            <w:webHidden/>
          </w:rPr>
          <w:fldChar w:fldCharType="end"/>
        </w:r>
      </w:hyperlink>
    </w:p>
    <w:p w14:paraId="60949E9E" w14:textId="7F1389D0" w:rsidR="004740DA" w:rsidRPr="00981914" w:rsidRDefault="00462A7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2645345" w:history="1">
        <w:r w:rsidR="004740DA" w:rsidRPr="00981914">
          <w:rPr>
            <w:rStyle w:val="Hyperlink"/>
            <w:rFonts w:cs="Arial"/>
            <w:noProof/>
          </w:rPr>
          <w:t>3</w:t>
        </w:r>
        <w:r w:rsidR="004740DA" w:rsidRPr="00981914">
          <w:rPr>
            <w:rFonts w:ascii="Arial" w:eastAsiaTheme="minorEastAsia" w:hAnsi="Arial" w:cs="Arial"/>
            <w:b w:val="0"/>
            <w:bCs w:val="0"/>
            <w:caps w:val="0"/>
            <w:noProof/>
            <w:sz w:val="22"/>
            <w:szCs w:val="22"/>
            <w:lang w:eastAsia="en-GB" w:bidi="ar-SA"/>
          </w:rPr>
          <w:tab/>
        </w:r>
        <w:r w:rsidR="004740DA" w:rsidRPr="00981914">
          <w:rPr>
            <w:rStyle w:val="Hyperlink"/>
            <w:rFonts w:cs="Arial"/>
            <w:noProof/>
          </w:rPr>
          <w:t>References</w:t>
        </w:r>
        <w:r w:rsidR="004740DA" w:rsidRPr="00981914">
          <w:rPr>
            <w:rFonts w:ascii="Arial" w:hAnsi="Arial" w:cs="Arial"/>
            <w:noProof/>
            <w:webHidden/>
          </w:rPr>
          <w:tab/>
        </w:r>
        <w:r w:rsidR="004740DA" w:rsidRPr="00981914">
          <w:rPr>
            <w:rFonts w:ascii="Arial" w:hAnsi="Arial" w:cs="Arial"/>
            <w:noProof/>
            <w:webHidden/>
          </w:rPr>
          <w:fldChar w:fldCharType="begin"/>
        </w:r>
        <w:r w:rsidR="004740DA" w:rsidRPr="00981914">
          <w:rPr>
            <w:rFonts w:ascii="Arial" w:hAnsi="Arial" w:cs="Arial"/>
            <w:noProof/>
            <w:webHidden/>
          </w:rPr>
          <w:instrText xml:space="preserve"> PAGEREF _Toc452645345 \h </w:instrText>
        </w:r>
        <w:r w:rsidR="004740DA" w:rsidRPr="00981914">
          <w:rPr>
            <w:rFonts w:ascii="Arial" w:hAnsi="Arial" w:cs="Arial"/>
            <w:noProof/>
            <w:webHidden/>
          </w:rPr>
        </w:r>
        <w:r w:rsidR="004740DA" w:rsidRPr="00981914">
          <w:rPr>
            <w:rFonts w:ascii="Arial" w:hAnsi="Arial" w:cs="Arial"/>
            <w:noProof/>
            <w:webHidden/>
          </w:rPr>
          <w:fldChar w:fldCharType="separate"/>
        </w:r>
        <w:r w:rsidR="00604288">
          <w:rPr>
            <w:rFonts w:ascii="Arial" w:hAnsi="Arial" w:cs="Arial"/>
            <w:noProof/>
            <w:webHidden/>
          </w:rPr>
          <w:t>23</w:t>
        </w:r>
        <w:r w:rsidR="004740DA" w:rsidRPr="00981914">
          <w:rPr>
            <w:rFonts w:ascii="Arial" w:hAnsi="Arial" w:cs="Arial"/>
            <w:noProof/>
            <w:webHidden/>
          </w:rPr>
          <w:fldChar w:fldCharType="end"/>
        </w:r>
      </w:hyperlink>
    </w:p>
    <w:p w14:paraId="6E10AF7C" w14:textId="77777777" w:rsidR="00051ED9" w:rsidRPr="0059227F" w:rsidRDefault="00051ED9" w:rsidP="00051ED9">
      <w:pPr>
        <w:rPr>
          <w:rFonts w:cs="Arial"/>
        </w:rPr>
      </w:pPr>
      <w:r w:rsidRPr="00981914">
        <w:rPr>
          <w:rFonts w:cs="Arial"/>
          <w:sz w:val="20"/>
          <w:szCs w:val="20"/>
        </w:rPr>
        <w:fldChar w:fldCharType="end"/>
      </w:r>
    </w:p>
    <w:p w14:paraId="11291033" w14:textId="77777777" w:rsidR="00D73931" w:rsidRPr="00E203C2" w:rsidRDefault="00D73931" w:rsidP="00051ED9"/>
    <w:p w14:paraId="6F5F3A6F" w14:textId="77777777" w:rsidR="0037520F" w:rsidRPr="008844E4" w:rsidRDefault="0037520F" w:rsidP="0037520F">
      <w:pPr>
        <w:rPr>
          <w:b/>
          <w:szCs w:val="22"/>
        </w:rPr>
      </w:pPr>
      <w:r w:rsidRPr="008844E4">
        <w:rPr>
          <w:b/>
          <w:szCs w:val="22"/>
        </w:rPr>
        <w:t>Supporting documents</w:t>
      </w:r>
    </w:p>
    <w:p w14:paraId="3351A039" w14:textId="77777777" w:rsidR="0037520F" w:rsidRPr="0089264A" w:rsidRDefault="0037520F" w:rsidP="0037520F">
      <w:pPr>
        <w:rPr>
          <w:szCs w:val="22"/>
        </w:rPr>
      </w:pPr>
    </w:p>
    <w:p w14:paraId="5D7C73C3" w14:textId="36210841" w:rsidR="0037520F" w:rsidRPr="00981914" w:rsidRDefault="0037520F" w:rsidP="0037520F">
      <w:pPr>
        <w:rPr>
          <w:rStyle w:val="Hyperlink"/>
          <w:color w:val="auto"/>
          <w:szCs w:val="22"/>
          <w:u w:val="none"/>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556352">
        <w:rPr>
          <w:szCs w:val="22"/>
        </w:rPr>
        <w:t>Proposal</w:t>
      </w:r>
      <w:r>
        <w:rPr>
          <w:szCs w:val="22"/>
        </w:rPr>
        <w:t xml:space="preserve"> are</w:t>
      </w:r>
      <w:r w:rsidRPr="0089264A">
        <w:rPr>
          <w:szCs w:val="22"/>
        </w:rPr>
        <w:t xml:space="preserve"> available on the FSANZ website at</w:t>
      </w:r>
      <w:r w:rsidRPr="0089264A">
        <w:rPr>
          <w:color w:val="FF0000"/>
          <w:szCs w:val="22"/>
        </w:rPr>
        <w:t xml:space="preserve"> </w:t>
      </w:r>
      <w:hyperlink r:id="rId23" w:history="1">
        <w:r w:rsidR="0038483B" w:rsidRPr="0038483B">
          <w:rPr>
            <w:rStyle w:val="Hyperlink"/>
            <w:szCs w:val="22"/>
          </w:rPr>
          <w:t>http://www.foodstandards.gov.au/code/proposals/Pages/P1034ChemicalMigrationfromPackagingintoFood.aspx</w:t>
        </w:r>
      </w:hyperlink>
      <w:r w:rsidR="00981914" w:rsidRPr="00981914">
        <w:rPr>
          <w:rStyle w:val="Hyperlink"/>
          <w:color w:val="auto"/>
          <w:szCs w:val="22"/>
          <w:u w:val="none"/>
        </w:rPr>
        <w:t>:</w:t>
      </w:r>
    </w:p>
    <w:p w14:paraId="1761B4F6" w14:textId="77777777" w:rsidR="00981914" w:rsidRDefault="00981914" w:rsidP="0037520F">
      <w:pPr>
        <w:rPr>
          <w:color w:val="FF0000"/>
          <w:szCs w:val="22"/>
        </w:rPr>
      </w:pPr>
    </w:p>
    <w:p w14:paraId="6B879C8F" w14:textId="77777777" w:rsidR="000773B0" w:rsidRDefault="00510E3B" w:rsidP="003A7725">
      <w:pPr>
        <w:ind w:left="1134" w:hanging="1134"/>
      </w:pPr>
      <w:r w:rsidRPr="000E3FBC">
        <w:t>SD</w:t>
      </w:r>
      <w:r w:rsidR="000E3FBC" w:rsidRPr="000E3FBC">
        <w:t>1</w:t>
      </w:r>
      <w:r w:rsidRPr="000E3FBC">
        <w:tab/>
      </w:r>
      <w:r w:rsidR="000773B0" w:rsidRPr="000773B0">
        <w:t>Summary of state, territory and New Zealand Food Acts</w:t>
      </w:r>
    </w:p>
    <w:p w14:paraId="52402FD0" w14:textId="55C4ACAA" w:rsidR="008D40A1" w:rsidRDefault="008D40A1" w:rsidP="003A7725">
      <w:pPr>
        <w:ind w:left="1134" w:hanging="1134"/>
      </w:pPr>
      <w:r>
        <w:t>SD2</w:t>
      </w:r>
      <w:r>
        <w:tab/>
      </w:r>
      <w:r w:rsidRPr="0038483B">
        <w:rPr>
          <w:i/>
        </w:rPr>
        <w:t>Australia New Zealand Food Standards Code</w:t>
      </w:r>
      <w:r w:rsidR="00E76ACC">
        <w:t xml:space="preserve"> requirements</w:t>
      </w:r>
    </w:p>
    <w:p w14:paraId="0425D0AF" w14:textId="33B49DC8" w:rsidR="000E3FBC" w:rsidRPr="000E3FBC" w:rsidRDefault="0072759C" w:rsidP="003A7725">
      <w:pPr>
        <w:ind w:left="1134" w:hanging="1134"/>
      </w:pPr>
      <w:r>
        <w:t>SD3</w:t>
      </w:r>
      <w:r w:rsidR="0008370D">
        <w:tab/>
      </w:r>
      <w:r w:rsidR="000413C4" w:rsidRPr="000E3FBC">
        <w:t xml:space="preserve">Risk </w:t>
      </w:r>
      <w:r w:rsidR="000413C4">
        <w:t>p</w:t>
      </w:r>
      <w:r w:rsidR="000413C4" w:rsidRPr="000E3FBC">
        <w:t>rofile</w:t>
      </w:r>
      <w:r w:rsidR="000413C4" w:rsidRPr="000E3FBC" w:rsidDel="00510E3B">
        <w:t xml:space="preserve"> </w:t>
      </w:r>
    </w:p>
    <w:p w14:paraId="4D4B5349" w14:textId="2EAF3E37" w:rsidR="0089264A" w:rsidRPr="000E3FBC" w:rsidRDefault="0072759C" w:rsidP="000E3FBC">
      <w:r w:rsidRPr="000E3FBC">
        <w:t>SD</w:t>
      </w:r>
      <w:r>
        <w:t>4</w:t>
      </w:r>
      <w:r w:rsidR="000E3FBC" w:rsidRPr="000E3FBC">
        <w:tab/>
      </w:r>
      <w:r w:rsidR="00A33A2D">
        <w:tab/>
      </w:r>
      <w:r w:rsidR="00F269CA" w:rsidRPr="000E3FBC">
        <w:t>Analysis of control measures</w:t>
      </w:r>
    </w:p>
    <w:p w14:paraId="3AA6B77C" w14:textId="5D20D734" w:rsidR="00510E3B" w:rsidRDefault="0072759C" w:rsidP="003A7725">
      <w:pPr>
        <w:ind w:left="1134" w:hanging="1134"/>
      </w:pPr>
      <w:r w:rsidRPr="000E3FBC">
        <w:t>SD</w:t>
      </w:r>
      <w:r>
        <w:t>5</w:t>
      </w:r>
      <w:r w:rsidR="00510E3B" w:rsidRPr="000E3FBC">
        <w:tab/>
      </w:r>
      <w:r w:rsidR="00F269CA" w:rsidRPr="000E3FBC">
        <w:t>Estimation of the residual risk</w:t>
      </w:r>
    </w:p>
    <w:p w14:paraId="4A7C2038" w14:textId="75DB61FC" w:rsidR="007B7A89" w:rsidRDefault="0072759C" w:rsidP="003A7725">
      <w:pPr>
        <w:ind w:left="1134" w:hanging="1134"/>
      </w:pPr>
      <w:r>
        <w:t>SD6</w:t>
      </w:r>
      <w:r w:rsidRPr="00F269CA">
        <w:t xml:space="preserve"> </w:t>
      </w:r>
      <w:r w:rsidR="00F269CA">
        <w:tab/>
      </w:r>
      <w:r w:rsidR="003C3AD4" w:rsidRPr="003C3AD4">
        <w:t>International regulatory approaches to chemical migration from packaging into food</w:t>
      </w:r>
    </w:p>
    <w:p w14:paraId="0DA012C6" w14:textId="04D81F3E" w:rsidR="00510E3B" w:rsidRDefault="009C3D35" w:rsidP="003A7725">
      <w:pPr>
        <w:ind w:left="1134" w:hanging="1134"/>
      </w:pPr>
      <w:r>
        <w:t>SD7</w:t>
      </w:r>
      <w:r w:rsidR="00E1650F">
        <w:tab/>
      </w:r>
      <w:r w:rsidR="007B7A89">
        <w:t>Summary of submission</w:t>
      </w:r>
      <w:r w:rsidR="00497DC8">
        <w:t>s</w:t>
      </w:r>
    </w:p>
    <w:p w14:paraId="30254189" w14:textId="10901D44" w:rsidR="000E3FBC" w:rsidRPr="000E3FBC" w:rsidRDefault="000E3FBC" w:rsidP="003A7725">
      <w:pPr>
        <w:ind w:left="1134" w:hanging="1134"/>
      </w:pPr>
      <w:r>
        <w:tab/>
      </w:r>
    </w:p>
    <w:p w14:paraId="6EE4F2A9" w14:textId="77777777" w:rsidR="00510E3B" w:rsidRPr="003A7725" w:rsidRDefault="00510E3B" w:rsidP="003A7725">
      <w:pPr>
        <w:ind w:left="1134" w:hanging="1134"/>
        <w:rPr>
          <w:color w:val="FF0000"/>
        </w:rPr>
      </w:pPr>
    </w:p>
    <w:p w14:paraId="5DC704EA" w14:textId="77777777" w:rsidR="00051ED9" w:rsidRDefault="00562917" w:rsidP="00772BDC">
      <w:r w:rsidRPr="00E203C2">
        <w:br w:type="page"/>
      </w:r>
    </w:p>
    <w:p w14:paraId="37146657" w14:textId="77777777" w:rsidR="00E063C6" w:rsidRDefault="00F33BB8" w:rsidP="000A5DF8">
      <w:pPr>
        <w:pStyle w:val="Heading1"/>
      </w:pPr>
      <w:bookmarkStart w:id="0" w:name="_Toc286391001"/>
      <w:bookmarkStart w:id="1" w:name="_Toc300933414"/>
      <w:bookmarkStart w:id="2" w:name="_Toc452645318"/>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08BF02F5" w14:textId="7A55FFA9" w:rsidR="00E34B31" w:rsidRPr="00104096" w:rsidRDefault="00E34B31" w:rsidP="00E34B31">
      <w:r w:rsidRPr="00104096">
        <w:t xml:space="preserve">Food packaging </w:t>
      </w:r>
      <w:r w:rsidR="00B40F3F">
        <w:t xml:space="preserve">is essential. It extends </w:t>
      </w:r>
      <w:r w:rsidRPr="00104096">
        <w:t>shelf life</w:t>
      </w:r>
      <w:r w:rsidR="00B40F3F">
        <w:t xml:space="preserve"> and </w:t>
      </w:r>
      <w:r w:rsidR="0066342D" w:rsidRPr="00104096">
        <w:t>prevent</w:t>
      </w:r>
      <w:r w:rsidR="00B40F3F">
        <w:t>s</w:t>
      </w:r>
      <w:r w:rsidR="0066342D" w:rsidRPr="00104096">
        <w:t xml:space="preserve"> microbial contamination</w:t>
      </w:r>
      <w:r w:rsidR="00B40F3F">
        <w:t xml:space="preserve">. It allows food to be transported easily and </w:t>
      </w:r>
      <w:r w:rsidRPr="00104096">
        <w:t>convenien</w:t>
      </w:r>
      <w:r w:rsidR="00B40F3F">
        <w:t>tly and allows information to be conveyed to consumers</w:t>
      </w:r>
      <w:r w:rsidR="00E76ACC">
        <w:t xml:space="preserve">. </w:t>
      </w:r>
      <w:r w:rsidRPr="00104096">
        <w:t xml:space="preserve">However, </w:t>
      </w:r>
      <w:r w:rsidR="00B40F3F">
        <w:t xml:space="preserve">the safety of packaging </w:t>
      </w:r>
      <w:r w:rsidR="00166720">
        <w:t>has been questioned</w:t>
      </w:r>
      <w:r w:rsidR="00B40F3F">
        <w:t xml:space="preserve">, particularly the issue of chemical migration from packaging into </w:t>
      </w:r>
      <w:r w:rsidR="00A73D5E" w:rsidRPr="00104096">
        <w:t xml:space="preserve">food (CMPF) </w:t>
      </w:r>
      <w:r w:rsidRPr="00104096">
        <w:t>and the adequacy of the current regulatory framework</w:t>
      </w:r>
      <w:r w:rsidR="00B40F3F">
        <w:t xml:space="preserve"> to manage any risks resulting from that migration. </w:t>
      </w:r>
    </w:p>
    <w:p w14:paraId="33806600" w14:textId="77777777" w:rsidR="00E34B31" w:rsidRPr="00104096" w:rsidRDefault="00E34B31" w:rsidP="00E34B31"/>
    <w:p w14:paraId="514025BA" w14:textId="2ABA8E45" w:rsidR="00E34B31" w:rsidRPr="00104096" w:rsidRDefault="00166720" w:rsidP="00E34B31">
      <w:r>
        <w:t xml:space="preserve">This </w:t>
      </w:r>
      <w:r w:rsidRPr="00104096">
        <w:t>Proposal</w:t>
      </w:r>
      <w:r>
        <w:t xml:space="preserve"> aims </w:t>
      </w:r>
      <w:r w:rsidR="00E34B31" w:rsidRPr="00104096">
        <w:t xml:space="preserve">to determine whether measures are required to manage food safety risks arising from </w:t>
      </w:r>
      <w:r w:rsidR="004474D9" w:rsidRPr="00104096">
        <w:t>CMPF</w:t>
      </w:r>
      <w:r w:rsidR="00E34B31" w:rsidRPr="00104096">
        <w:t xml:space="preserve"> in Australia and New Zealand.</w:t>
      </w:r>
      <w:r w:rsidR="00856D1C" w:rsidRPr="00856D1C">
        <w:rPr>
          <w:lang w:bidi="ar-SA"/>
        </w:rPr>
        <w:t xml:space="preserve"> </w:t>
      </w:r>
      <w:r w:rsidR="00856D1C" w:rsidRPr="00104096">
        <w:rPr>
          <w:lang w:bidi="ar-SA"/>
        </w:rPr>
        <w:t xml:space="preserve">The Proposal </w:t>
      </w:r>
      <w:r w:rsidR="0019285B">
        <w:rPr>
          <w:lang w:bidi="ar-SA"/>
        </w:rPr>
        <w:t>encompasses</w:t>
      </w:r>
      <w:r w:rsidR="0019285B" w:rsidRPr="00104096">
        <w:rPr>
          <w:lang w:bidi="ar-SA"/>
        </w:rPr>
        <w:t xml:space="preserve"> </w:t>
      </w:r>
      <w:r w:rsidR="00856D1C" w:rsidRPr="00104096">
        <w:rPr>
          <w:lang w:bidi="ar-SA"/>
        </w:rPr>
        <w:t>CMPF from virgin and recycled materials</w:t>
      </w:r>
      <w:r w:rsidR="00E76ACC">
        <w:rPr>
          <w:lang w:bidi="ar-SA"/>
        </w:rPr>
        <w:t xml:space="preserve">. </w:t>
      </w:r>
    </w:p>
    <w:p w14:paraId="24F443E3" w14:textId="77777777" w:rsidR="00E34B31" w:rsidRPr="00104096" w:rsidRDefault="00E34B31" w:rsidP="00E34B31"/>
    <w:p w14:paraId="17E75358" w14:textId="61533D69" w:rsidR="00E34B31" w:rsidRPr="00104096" w:rsidRDefault="00486EB1" w:rsidP="00E34B31">
      <w:pPr>
        <w:rPr>
          <w:lang w:bidi="ar-SA"/>
        </w:rPr>
      </w:pPr>
      <w:bookmarkStart w:id="8" w:name="_Toc286391003"/>
      <w:r>
        <w:rPr>
          <w:lang w:bidi="ar-SA"/>
        </w:rPr>
        <w:t>FSANZ has assessed the risk</w:t>
      </w:r>
      <w:r w:rsidR="002B6033" w:rsidRPr="00104096">
        <w:rPr>
          <w:lang w:bidi="ar-SA"/>
        </w:rPr>
        <w:t xml:space="preserve"> </w:t>
      </w:r>
      <w:r w:rsidR="00166720">
        <w:rPr>
          <w:lang w:bidi="ar-SA"/>
        </w:rPr>
        <w:t xml:space="preserve">of CMPF by developing </w:t>
      </w:r>
      <w:r w:rsidR="00E34B31" w:rsidRPr="00104096">
        <w:rPr>
          <w:lang w:bidi="ar-SA"/>
        </w:rPr>
        <w:t xml:space="preserve">a risk profile of </w:t>
      </w:r>
      <w:r w:rsidR="00032EDC">
        <w:rPr>
          <w:lang w:bidi="ar-SA"/>
        </w:rPr>
        <w:t xml:space="preserve">potential </w:t>
      </w:r>
      <w:r w:rsidR="00E34B31" w:rsidRPr="00104096">
        <w:rPr>
          <w:lang w:bidi="ar-SA"/>
        </w:rPr>
        <w:t xml:space="preserve">chemical hazards </w:t>
      </w:r>
      <w:r w:rsidR="002B6033" w:rsidRPr="00104096">
        <w:rPr>
          <w:lang w:bidi="ar-SA"/>
        </w:rPr>
        <w:t xml:space="preserve">associated </w:t>
      </w:r>
      <w:r w:rsidR="00032EDC">
        <w:rPr>
          <w:lang w:bidi="ar-SA"/>
        </w:rPr>
        <w:t xml:space="preserve">with </w:t>
      </w:r>
      <w:r w:rsidR="00E34B31" w:rsidRPr="00104096">
        <w:rPr>
          <w:lang w:bidi="ar-SA"/>
        </w:rPr>
        <w:t xml:space="preserve">packaging </w:t>
      </w:r>
      <w:r w:rsidR="002B6033" w:rsidRPr="00104096">
        <w:rPr>
          <w:lang w:bidi="ar-SA"/>
        </w:rPr>
        <w:t>chemicals</w:t>
      </w:r>
      <w:r w:rsidR="00E34B31" w:rsidRPr="00104096">
        <w:rPr>
          <w:lang w:bidi="ar-SA"/>
        </w:rPr>
        <w:t xml:space="preserve"> and </w:t>
      </w:r>
      <w:r w:rsidR="00166720">
        <w:rPr>
          <w:lang w:bidi="ar-SA"/>
        </w:rPr>
        <w:t>analysing</w:t>
      </w:r>
      <w:r w:rsidR="00E34B31" w:rsidRPr="00104096">
        <w:rPr>
          <w:lang w:bidi="ar-SA"/>
        </w:rPr>
        <w:t xml:space="preserve"> control measures used throughout the packaging supply chain to mitigate CMPF</w:t>
      </w:r>
      <w:r w:rsidR="00E76ACC">
        <w:rPr>
          <w:lang w:bidi="ar-SA"/>
        </w:rPr>
        <w:t xml:space="preserve">. </w:t>
      </w:r>
      <w:r w:rsidR="00E34B31" w:rsidRPr="00104096">
        <w:rPr>
          <w:lang w:bidi="ar-SA"/>
        </w:rPr>
        <w:t>The result</w:t>
      </w:r>
      <w:r w:rsidR="00B40F3F">
        <w:rPr>
          <w:lang w:bidi="ar-SA"/>
        </w:rPr>
        <w:t>ing</w:t>
      </w:r>
      <w:r w:rsidR="00E34B31" w:rsidRPr="00104096">
        <w:rPr>
          <w:lang w:bidi="ar-SA"/>
        </w:rPr>
        <w:t xml:space="preserve"> residual risk provides a qualitative assessment which indicates </w:t>
      </w:r>
      <w:r w:rsidR="00DD539E">
        <w:rPr>
          <w:lang w:bidi="ar-SA"/>
        </w:rPr>
        <w:t>there are some</w:t>
      </w:r>
      <w:r w:rsidR="00D2730B">
        <w:rPr>
          <w:lang w:bidi="ar-SA"/>
        </w:rPr>
        <w:t xml:space="preserve"> </w:t>
      </w:r>
      <w:r w:rsidR="00E34B31" w:rsidRPr="00104096">
        <w:rPr>
          <w:lang w:bidi="ar-SA"/>
        </w:rPr>
        <w:t xml:space="preserve">gaps in current </w:t>
      </w:r>
      <w:r w:rsidR="00881020">
        <w:rPr>
          <w:lang w:bidi="ar-SA"/>
        </w:rPr>
        <w:t>risk management</w:t>
      </w:r>
      <w:r w:rsidR="00462A77">
        <w:rPr>
          <w:lang w:bidi="ar-SA"/>
        </w:rPr>
        <w:t xml:space="preserve">. </w:t>
      </w:r>
      <w:r w:rsidR="00E34B31" w:rsidRPr="00104096">
        <w:rPr>
          <w:lang w:bidi="ar-SA"/>
        </w:rPr>
        <w:t xml:space="preserve"> </w:t>
      </w:r>
    </w:p>
    <w:p w14:paraId="20751A8E" w14:textId="77777777" w:rsidR="00E34B31" w:rsidRPr="00104096" w:rsidRDefault="00E34B31" w:rsidP="00E34B31">
      <w:pPr>
        <w:rPr>
          <w:lang w:bidi="ar-SA"/>
        </w:rPr>
      </w:pPr>
      <w:r w:rsidRPr="00104096">
        <w:rPr>
          <w:lang w:bidi="ar-SA"/>
        </w:rPr>
        <w:t xml:space="preserve"> </w:t>
      </w:r>
    </w:p>
    <w:p w14:paraId="04AB0FEE" w14:textId="2D4C8B9F" w:rsidR="00E87C0D" w:rsidRDefault="00E34B31" w:rsidP="00E34B31">
      <w:pPr>
        <w:rPr>
          <w:lang w:bidi="ar-SA"/>
        </w:rPr>
      </w:pPr>
      <w:r w:rsidRPr="00104096">
        <w:rPr>
          <w:lang w:bidi="ar-SA"/>
        </w:rPr>
        <w:t xml:space="preserve">The </w:t>
      </w:r>
      <w:r w:rsidR="00CC12E3">
        <w:rPr>
          <w:lang w:bidi="ar-SA"/>
        </w:rPr>
        <w:t>risk profile</w:t>
      </w:r>
      <w:r w:rsidRPr="00104096">
        <w:rPr>
          <w:lang w:bidi="ar-SA"/>
        </w:rPr>
        <w:t xml:space="preserve"> indicated that </w:t>
      </w:r>
      <w:r w:rsidR="00B40F3F">
        <w:rPr>
          <w:lang w:bidi="ar-SA"/>
        </w:rPr>
        <w:t xml:space="preserve">most </w:t>
      </w:r>
      <w:r w:rsidRPr="00104096">
        <w:rPr>
          <w:lang w:bidi="ar-SA"/>
        </w:rPr>
        <w:t xml:space="preserve">chemicals used to produce food packaging </w:t>
      </w:r>
      <w:r w:rsidR="00166720">
        <w:rPr>
          <w:lang w:bidi="ar-SA"/>
        </w:rPr>
        <w:t xml:space="preserve">are unlikely </w:t>
      </w:r>
      <w:r w:rsidR="001C62A7">
        <w:rPr>
          <w:lang w:bidi="ar-SA"/>
        </w:rPr>
        <w:t xml:space="preserve">to </w:t>
      </w:r>
      <w:r w:rsidR="001C62A7" w:rsidRPr="00104096">
        <w:rPr>
          <w:lang w:bidi="ar-SA"/>
        </w:rPr>
        <w:t>pose</w:t>
      </w:r>
      <w:r w:rsidRPr="00104096">
        <w:rPr>
          <w:lang w:bidi="ar-SA"/>
        </w:rPr>
        <w:t xml:space="preserve"> a public health and safety concern, predominantly because of their low levels of migration into food. </w:t>
      </w:r>
      <w:r w:rsidR="00166720">
        <w:rPr>
          <w:lang w:bidi="ar-SA"/>
        </w:rPr>
        <w:t xml:space="preserve">This </w:t>
      </w:r>
      <w:r w:rsidR="00E87C0D">
        <w:t xml:space="preserve">conclusion is supported by information on hazard and dietary exposure for a large number of food packaging chemicals. </w:t>
      </w:r>
      <w:r w:rsidR="00166720">
        <w:t xml:space="preserve">It </w:t>
      </w:r>
      <w:r w:rsidR="00E87C0D">
        <w:t xml:space="preserve">is also consistent with the findings of analytical surveys investigating the presence of specific packaging chemicals in Australian foods. However, FSANZ identified two chemicals for which additional food concentration data are required </w:t>
      </w:r>
      <w:r w:rsidR="00E87C0D" w:rsidRPr="006E2984">
        <w:t>to determine if dietary exposure to these chemicals poses a health risk.</w:t>
      </w:r>
      <w:r w:rsidR="00E87C0D">
        <w:t xml:space="preserve"> These two chemicals, d</w:t>
      </w:r>
      <w:r w:rsidR="00E87C0D" w:rsidRPr="001E5EED">
        <w:t xml:space="preserve">iethylhexyl phthalate </w:t>
      </w:r>
      <w:r w:rsidR="00E87C0D">
        <w:t>(DEHP) and d</w:t>
      </w:r>
      <w:r w:rsidR="00E87C0D" w:rsidRPr="003C053E">
        <w:t xml:space="preserve">iisononyl phthalate </w:t>
      </w:r>
      <w:r w:rsidR="00E87C0D">
        <w:t xml:space="preserve">(DINP), </w:t>
      </w:r>
      <w:r w:rsidR="00915D17">
        <w:t>are</w:t>
      </w:r>
      <w:r w:rsidR="00E87C0D">
        <w:t xml:space="preserve"> phthalate compounds</w:t>
      </w:r>
      <w:r w:rsidR="00915D17">
        <w:t xml:space="preserve"> </w:t>
      </w:r>
      <w:r w:rsidR="00E87C0D">
        <w:t xml:space="preserve">which </w:t>
      </w:r>
      <w:r w:rsidR="00915D17">
        <w:t xml:space="preserve">can </w:t>
      </w:r>
      <w:r w:rsidR="00E87C0D">
        <w:t>migrate efficiently into foods.</w:t>
      </w:r>
      <w:r w:rsidR="00E87C0D" w:rsidRPr="006E2984">
        <w:t xml:space="preserve"> </w:t>
      </w:r>
      <w:r w:rsidR="00E87C0D">
        <w:t xml:space="preserve">FSANZ is </w:t>
      </w:r>
      <w:r w:rsidR="00D01266">
        <w:t xml:space="preserve">now </w:t>
      </w:r>
      <w:r w:rsidR="00E87C0D">
        <w:t>conducting a study to acquire data on DEHP and DINP levels in a wider range of foods</w:t>
      </w:r>
      <w:r w:rsidR="00486EB1">
        <w:t>.</w:t>
      </w:r>
    </w:p>
    <w:p w14:paraId="318EC22D" w14:textId="77777777" w:rsidR="00E87C0D" w:rsidRDefault="00E87C0D" w:rsidP="00E34B31">
      <w:pPr>
        <w:rPr>
          <w:lang w:bidi="ar-SA"/>
        </w:rPr>
      </w:pPr>
    </w:p>
    <w:p w14:paraId="0BCC560F" w14:textId="312DE40D" w:rsidR="00202D84" w:rsidRDefault="00E34B31" w:rsidP="00E34B31">
      <w:pPr>
        <w:rPr>
          <w:lang w:bidi="ar-SA"/>
        </w:rPr>
      </w:pPr>
      <w:r w:rsidRPr="00104096">
        <w:rPr>
          <w:lang w:bidi="ar-SA"/>
        </w:rPr>
        <w:t xml:space="preserve">Consultation with a broad range of industry stakeholders informed an analysis of the range of control measures employed to control </w:t>
      </w:r>
      <w:r w:rsidR="00564D3F">
        <w:rPr>
          <w:lang w:bidi="ar-SA"/>
        </w:rPr>
        <w:t>CMPF</w:t>
      </w:r>
      <w:r w:rsidRPr="00104096">
        <w:rPr>
          <w:lang w:bidi="ar-SA"/>
        </w:rPr>
        <w:t xml:space="preserve">. </w:t>
      </w:r>
      <w:r w:rsidR="00915D17">
        <w:rPr>
          <w:lang w:bidi="ar-SA"/>
        </w:rPr>
        <w:t>Overall</w:t>
      </w:r>
      <w:r w:rsidRPr="00104096">
        <w:rPr>
          <w:lang w:bidi="ar-SA"/>
        </w:rPr>
        <w:t xml:space="preserve">, </w:t>
      </w:r>
      <w:r w:rsidR="0066342D">
        <w:rPr>
          <w:lang w:bidi="ar-SA"/>
        </w:rPr>
        <w:t xml:space="preserve">industry responses indicate that </w:t>
      </w:r>
      <w:r w:rsidRPr="00104096">
        <w:rPr>
          <w:lang w:bidi="ar-SA"/>
        </w:rPr>
        <w:t xml:space="preserve">more general food safety control measures </w:t>
      </w:r>
      <w:r w:rsidR="00EB5A0D">
        <w:rPr>
          <w:lang w:bidi="ar-SA"/>
        </w:rPr>
        <w:t xml:space="preserve">are </w:t>
      </w:r>
      <w:r w:rsidRPr="00104096">
        <w:rPr>
          <w:lang w:bidi="ar-SA"/>
        </w:rPr>
        <w:t>used</w:t>
      </w:r>
      <w:r w:rsidR="00EB5A0D">
        <w:rPr>
          <w:lang w:bidi="ar-SA"/>
        </w:rPr>
        <w:t xml:space="preserve"> by food companies closer to the point of sale</w:t>
      </w:r>
      <w:r w:rsidRPr="00104096">
        <w:rPr>
          <w:lang w:bidi="ar-SA"/>
        </w:rPr>
        <w:t xml:space="preserve">. Packaging manufacturers and raw material suppliers show good awareness and uptake of international packaging regulations whereas food manufacturers, in general, </w:t>
      </w:r>
      <w:r w:rsidR="00E87C0D">
        <w:rPr>
          <w:lang w:bidi="ar-SA"/>
        </w:rPr>
        <w:t>appear</w:t>
      </w:r>
      <w:r w:rsidRPr="00104096">
        <w:rPr>
          <w:lang w:bidi="ar-SA"/>
        </w:rPr>
        <w:t xml:space="preserve"> less aware of international regulations for packaging and indicated that they rely heavily upon supply chain assurance. </w:t>
      </w:r>
      <w:r w:rsidR="000374AE" w:rsidRPr="00104096">
        <w:rPr>
          <w:lang w:bidi="ar-SA"/>
        </w:rPr>
        <w:t>The consistency of application of control measures by packaging manufacture</w:t>
      </w:r>
      <w:r w:rsidR="00583C33">
        <w:rPr>
          <w:lang w:bidi="ar-SA"/>
        </w:rPr>
        <w:t>r</w:t>
      </w:r>
      <w:r w:rsidR="000374AE" w:rsidRPr="00104096">
        <w:rPr>
          <w:lang w:bidi="ar-SA"/>
        </w:rPr>
        <w:t xml:space="preserve">s with </w:t>
      </w:r>
      <w:r w:rsidR="00C271B3">
        <w:rPr>
          <w:lang w:bidi="ar-SA"/>
        </w:rPr>
        <w:t xml:space="preserve">a </w:t>
      </w:r>
      <w:r w:rsidR="000374AE" w:rsidRPr="00104096">
        <w:rPr>
          <w:lang w:bidi="ar-SA"/>
        </w:rPr>
        <w:t xml:space="preserve">high market share </w:t>
      </w:r>
      <w:r w:rsidR="008D254D" w:rsidRPr="008D254D">
        <w:rPr>
          <w:lang w:bidi="ar-SA"/>
        </w:rPr>
        <w:t xml:space="preserve">provides </w:t>
      </w:r>
      <w:r w:rsidR="008D254D">
        <w:rPr>
          <w:lang w:bidi="ar-SA"/>
        </w:rPr>
        <w:t>FSANZ</w:t>
      </w:r>
      <w:r w:rsidR="008D254D" w:rsidRPr="008D254D">
        <w:rPr>
          <w:lang w:bidi="ar-SA"/>
        </w:rPr>
        <w:t xml:space="preserve"> with confidence</w:t>
      </w:r>
      <w:r w:rsidR="008D254D">
        <w:rPr>
          <w:lang w:bidi="ar-SA"/>
        </w:rPr>
        <w:t xml:space="preserve"> </w:t>
      </w:r>
      <w:r w:rsidR="000374AE" w:rsidRPr="00104096">
        <w:rPr>
          <w:lang w:bidi="ar-SA"/>
        </w:rPr>
        <w:t>in the current implementation of control measures to prevent or limit CMPF.</w:t>
      </w:r>
      <w:r w:rsidR="007B7A89">
        <w:rPr>
          <w:lang w:bidi="ar-SA"/>
        </w:rPr>
        <w:t xml:space="preserve"> </w:t>
      </w:r>
    </w:p>
    <w:p w14:paraId="0CACA198" w14:textId="77777777" w:rsidR="007B7A89" w:rsidRDefault="007B7A89" w:rsidP="00E34B31">
      <w:pPr>
        <w:rPr>
          <w:lang w:bidi="ar-SA"/>
        </w:rPr>
      </w:pPr>
    </w:p>
    <w:p w14:paraId="00932DC3" w14:textId="390C8EF9" w:rsidR="0053464E" w:rsidRPr="00104096" w:rsidRDefault="00202D84" w:rsidP="00E34B31">
      <w:pPr>
        <w:rPr>
          <w:lang w:bidi="ar-SA"/>
        </w:rPr>
      </w:pPr>
      <w:r w:rsidRPr="00104096">
        <w:rPr>
          <w:lang w:bidi="ar-SA"/>
        </w:rPr>
        <w:t xml:space="preserve">Overall, </w:t>
      </w:r>
      <w:r w:rsidR="00B558CF">
        <w:t>consultations on uptake of control measures indicate</w:t>
      </w:r>
      <w:r w:rsidR="00BC7630">
        <w:t xml:space="preserve"> </w:t>
      </w:r>
      <w:r w:rsidRPr="00104096">
        <w:rPr>
          <w:lang w:bidi="ar-SA"/>
        </w:rPr>
        <w:t xml:space="preserve">good upstream control of CMPF. This </w:t>
      </w:r>
      <w:r w:rsidR="0066342D">
        <w:rPr>
          <w:lang w:bidi="ar-SA"/>
        </w:rPr>
        <w:t>advice was verified by</w:t>
      </w:r>
      <w:r w:rsidRPr="00104096">
        <w:rPr>
          <w:lang w:bidi="ar-SA"/>
        </w:rPr>
        <w:t xml:space="preserve"> evidence from </w:t>
      </w:r>
      <w:r w:rsidR="001F1259">
        <w:rPr>
          <w:lang w:bidi="ar-SA"/>
        </w:rPr>
        <w:t xml:space="preserve">analytical </w:t>
      </w:r>
      <w:r w:rsidRPr="00104096">
        <w:rPr>
          <w:lang w:bidi="ar-SA"/>
        </w:rPr>
        <w:t>surveys which show that</w:t>
      </w:r>
      <w:r w:rsidR="00C9631F">
        <w:rPr>
          <w:lang w:bidi="ar-SA"/>
        </w:rPr>
        <w:t>,</w:t>
      </w:r>
      <w:r w:rsidR="00BC7630">
        <w:rPr>
          <w:lang w:bidi="ar-SA"/>
        </w:rPr>
        <w:t xml:space="preserve"> with the exception of two </w:t>
      </w:r>
      <w:r w:rsidR="00FF2C8C">
        <w:rPr>
          <w:lang w:bidi="ar-SA"/>
        </w:rPr>
        <w:t>phthalates,</w:t>
      </w:r>
      <w:r w:rsidR="00FF2C8C" w:rsidRPr="00104096">
        <w:rPr>
          <w:lang w:bidi="ar-SA"/>
        </w:rPr>
        <w:t xml:space="preserve"> the</w:t>
      </w:r>
      <w:r w:rsidRPr="00104096">
        <w:rPr>
          <w:lang w:bidi="ar-SA"/>
        </w:rPr>
        <w:t xml:space="preserve"> estimated exposures to packaging chemicals detected in Australian and New Zealand foods and beverages were below internationally recognised safe levels and present a negligible to low risk to the Australian and New Zealand population. </w:t>
      </w:r>
      <w:r>
        <w:rPr>
          <w:lang w:bidi="ar-SA"/>
        </w:rPr>
        <w:t>However, s</w:t>
      </w:r>
      <w:r w:rsidR="00E34B31" w:rsidRPr="00104096">
        <w:rPr>
          <w:lang w:bidi="ar-SA"/>
        </w:rPr>
        <w:t>ome food businesses showed poor awareness of CMPF and the application of suitable control measures</w:t>
      </w:r>
      <w:r w:rsidR="00E76ACC">
        <w:rPr>
          <w:lang w:bidi="ar-SA"/>
        </w:rPr>
        <w:t xml:space="preserve">. </w:t>
      </w:r>
      <w:r w:rsidR="00E34B31" w:rsidRPr="00104096">
        <w:rPr>
          <w:lang w:bidi="ar-SA"/>
        </w:rPr>
        <w:t>This appeared to be more evident for small to medium enterprises</w:t>
      </w:r>
      <w:r w:rsidR="00E76ACC">
        <w:rPr>
          <w:lang w:bidi="ar-SA"/>
        </w:rPr>
        <w:t xml:space="preserve">. </w:t>
      </w:r>
    </w:p>
    <w:p w14:paraId="0FB1918F" w14:textId="2EFDCCFC" w:rsidR="002B6033" w:rsidRPr="00104096" w:rsidRDefault="002B6033" w:rsidP="00E34B31">
      <w:pPr>
        <w:rPr>
          <w:lang w:bidi="ar-SA"/>
        </w:rPr>
      </w:pPr>
    </w:p>
    <w:p w14:paraId="6117BF31" w14:textId="1C8FD232" w:rsidR="00981914" w:rsidRDefault="00B736FA" w:rsidP="00981914">
      <w:r>
        <w:t>A</w:t>
      </w:r>
      <w:r w:rsidRPr="00104096">
        <w:t xml:space="preserve"> r</w:t>
      </w:r>
      <w:r>
        <w:t>ange of risk management options are proposed.</w:t>
      </w:r>
      <w:r w:rsidRPr="00512D34">
        <w:t xml:space="preserve"> </w:t>
      </w:r>
      <w:r>
        <w:t xml:space="preserve">FSANZ’s assessment, based on the information currently available, is that the option of a graduated approach may offer the most advantages in terms of protection of public health and </w:t>
      </w:r>
      <w:r w:rsidR="00462A77">
        <w:t xml:space="preserve">safety and cost effectiveness. </w:t>
      </w:r>
      <w:r>
        <w:t>The graduated approach would address: chemicals with different risk profiles; concerns with clarity about current requirements as well as gaps in the awareness of CMPF. Stakeholders are encouraged to address the questions posed in the document. Responses will help inform FSANZ’s next steps.</w:t>
      </w:r>
      <w:bookmarkStart w:id="9" w:name="_Toc300933417"/>
      <w:bookmarkStart w:id="10" w:name="_Toc452645319"/>
      <w:r w:rsidR="00981914">
        <w:br w:type="page"/>
      </w:r>
    </w:p>
    <w:p w14:paraId="294F429F" w14:textId="2F440F9D" w:rsidR="002A5F8B" w:rsidRPr="00556352" w:rsidRDefault="00F33BB8" w:rsidP="000B6AF2">
      <w:pPr>
        <w:pStyle w:val="Heading1"/>
      </w:pPr>
      <w:r w:rsidRPr="00556352">
        <w:lastRenderedPageBreak/>
        <w:t>1</w:t>
      </w:r>
      <w:r w:rsidR="001542D8" w:rsidRPr="00556352">
        <w:tab/>
      </w:r>
      <w:r w:rsidR="002A5F8B" w:rsidRPr="00556352">
        <w:t>Introduction</w:t>
      </w:r>
      <w:bookmarkEnd w:id="8"/>
      <w:bookmarkEnd w:id="9"/>
      <w:bookmarkEnd w:id="10"/>
    </w:p>
    <w:p w14:paraId="0BA1D312" w14:textId="756C9575" w:rsidR="0053464E" w:rsidRPr="00556352" w:rsidRDefault="00F33BB8" w:rsidP="00A56E34">
      <w:pPr>
        <w:pStyle w:val="Heading2"/>
      </w:pPr>
      <w:bookmarkStart w:id="11" w:name="_Toc300761891"/>
      <w:bookmarkStart w:id="12" w:name="_Toc300933420"/>
      <w:bookmarkStart w:id="13" w:name="_Toc452645320"/>
      <w:r w:rsidRPr="00556352">
        <w:t>1</w:t>
      </w:r>
      <w:r w:rsidR="0053464E" w:rsidRPr="00556352">
        <w:t>.</w:t>
      </w:r>
      <w:r w:rsidR="005F1BE1" w:rsidRPr="00556352">
        <w:t>1</w:t>
      </w:r>
      <w:r w:rsidR="0053464E" w:rsidRPr="00556352">
        <w:tab/>
        <w:t xml:space="preserve">The </w:t>
      </w:r>
      <w:bookmarkEnd w:id="11"/>
      <w:r w:rsidR="00256D65" w:rsidRPr="00556352">
        <w:t>Proposal</w:t>
      </w:r>
      <w:bookmarkEnd w:id="12"/>
      <w:bookmarkEnd w:id="13"/>
    </w:p>
    <w:p w14:paraId="23DFE4BB" w14:textId="4AAE6061" w:rsidR="002B3C8A" w:rsidRPr="004D5E67" w:rsidRDefault="002B3C8A" w:rsidP="002B3C8A">
      <w:pPr>
        <w:rPr>
          <w:rFonts w:eastAsia="Calibri"/>
        </w:rPr>
      </w:pPr>
      <w:r w:rsidRPr="004D5E67">
        <w:rPr>
          <w:rFonts w:eastAsia="Calibri"/>
        </w:rPr>
        <w:t xml:space="preserve">Proposal </w:t>
      </w:r>
      <w:r w:rsidR="00E76ACC">
        <w:rPr>
          <w:rFonts w:eastAsia="Calibri"/>
        </w:rPr>
        <w:t>P1027 was prepared</w:t>
      </w:r>
      <w:r w:rsidRPr="004D5E67">
        <w:rPr>
          <w:rFonts w:eastAsiaTheme="minorHAnsi"/>
          <w:lang w:val="en-AU"/>
        </w:rPr>
        <w:t xml:space="preserve"> </w:t>
      </w:r>
      <w:r w:rsidRPr="004D5E67">
        <w:rPr>
          <w:rFonts w:eastAsia="Calibri"/>
        </w:rPr>
        <w:t xml:space="preserve">to </w:t>
      </w:r>
      <w:r w:rsidR="00946479">
        <w:rPr>
          <w:rFonts w:eastAsia="Calibri"/>
        </w:rPr>
        <w:t>investigate</w:t>
      </w:r>
      <w:r w:rsidR="00E76ACC" w:rsidRPr="004D5E67">
        <w:rPr>
          <w:rFonts w:eastAsia="Calibri"/>
        </w:rPr>
        <w:t xml:space="preserve"> </w:t>
      </w:r>
      <w:r w:rsidRPr="004D5E67">
        <w:rPr>
          <w:rFonts w:eastAsia="Calibri"/>
        </w:rPr>
        <w:t xml:space="preserve">whether additional measures are required to manage food safety risks arising from </w:t>
      </w:r>
      <w:r w:rsidRPr="004D5E67">
        <w:t>chemical migration from packaging into food (</w:t>
      </w:r>
      <w:r w:rsidRPr="004D5E67">
        <w:rPr>
          <w:rFonts w:eastAsia="Calibri"/>
        </w:rPr>
        <w:t>CMPF) in Australia and New Zealand.</w:t>
      </w:r>
    </w:p>
    <w:p w14:paraId="5A2B21B2" w14:textId="174742F1" w:rsidR="0053464E" w:rsidRPr="004D5E67" w:rsidRDefault="0053464E" w:rsidP="002B3C8A">
      <w:pPr>
        <w:tabs>
          <w:tab w:val="left" w:pos="1333"/>
        </w:tabs>
      </w:pPr>
    </w:p>
    <w:p w14:paraId="28CD1AF6" w14:textId="7C4AF9A1" w:rsidR="00BB6482" w:rsidRPr="004D5E67" w:rsidRDefault="00E76ACC" w:rsidP="00BB6482">
      <w:pPr>
        <w:widowControl/>
        <w:rPr>
          <w:rFonts w:eastAsia="Calibri" w:cs="Arial"/>
          <w:lang w:bidi="ar-SA"/>
        </w:rPr>
      </w:pPr>
      <w:r>
        <w:rPr>
          <w:rFonts w:eastAsia="Calibri" w:cs="Arial"/>
          <w:lang w:bidi="ar-SA"/>
        </w:rPr>
        <w:t>FSANZ</w:t>
      </w:r>
      <w:r w:rsidR="00BB6482" w:rsidRPr="004D5E67">
        <w:rPr>
          <w:rFonts w:eastAsia="Calibri" w:cs="Arial"/>
          <w:lang w:bidi="ar-SA"/>
        </w:rPr>
        <w:t xml:space="preserve"> </w:t>
      </w:r>
      <w:r>
        <w:rPr>
          <w:rFonts w:eastAsia="Calibri" w:cs="Arial"/>
          <w:lang w:bidi="ar-SA"/>
        </w:rPr>
        <w:t xml:space="preserve">is </w:t>
      </w:r>
      <w:r w:rsidR="00BB6482" w:rsidRPr="004D5E67">
        <w:rPr>
          <w:rFonts w:eastAsia="Calibri" w:cs="Arial"/>
          <w:lang w:bidi="ar-SA"/>
        </w:rPr>
        <w:t>investigat</w:t>
      </w:r>
      <w:r>
        <w:rPr>
          <w:rFonts w:eastAsia="Calibri" w:cs="Arial"/>
          <w:lang w:bidi="ar-SA"/>
        </w:rPr>
        <w:t>ing</w:t>
      </w:r>
      <w:r w:rsidR="00BB6482" w:rsidRPr="004D5E67">
        <w:rPr>
          <w:rFonts w:eastAsia="Calibri" w:cs="Arial"/>
          <w:lang w:bidi="ar-SA"/>
        </w:rPr>
        <w:t xml:space="preserve"> </w:t>
      </w:r>
      <w:r w:rsidR="00BB6482">
        <w:rPr>
          <w:rFonts w:eastAsia="Calibri" w:cs="Arial"/>
          <w:lang w:bidi="ar-SA"/>
        </w:rPr>
        <w:t>the use of</w:t>
      </w:r>
      <w:r w:rsidR="00BB6482" w:rsidRPr="004D5E67">
        <w:rPr>
          <w:rFonts w:eastAsia="Calibri" w:cs="Arial"/>
          <w:lang w:bidi="ar-SA"/>
        </w:rPr>
        <w:t xml:space="preserve"> packaging in food production and manufacture </w:t>
      </w:r>
      <w:r w:rsidR="00B26833">
        <w:rPr>
          <w:rFonts w:eastAsia="Calibri" w:cs="Arial"/>
          <w:lang w:bidi="ar-SA"/>
        </w:rPr>
        <w:t>to add</w:t>
      </w:r>
      <w:r w:rsidR="00BB6482" w:rsidRPr="004D5E67">
        <w:rPr>
          <w:rFonts w:eastAsia="Calibri" w:cs="Arial"/>
          <w:lang w:bidi="ar-SA"/>
        </w:rPr>
        <w:t xml:space="preserve"> to the understanding of the nature and possible risks from CMPF. </w:t>
      </w:r>
      <w:r>
        <w:rPr>
          <w:rFonts w:eastAsia="Calibri" w:cs="Arial"/>
          <w:lang w:bidi="ar-SA"/>
        </w:rPr>
        <w:t>FSANZ is</w:t>
      </w:r>
      <w:r w:rsidRPr="004D5E67">
        <w:rPr>
          <w:rFonts w:eastAsia="Calibri" w:cs="Arial"/>
          <w:lang w:bidi="ar-SA"/>
        </w:rPr>
        <w:t xml:space="preserve"> </w:t>
      </w:r>
      <w:r w:rsidR="00BB6482" w:rsidRPr="004D5E67">
        <w:rPr>
          <w:rFonts w:eastAsia="Calibri" w:cs="Arial"/>
          <w:lang w:bidi="ar-SA"/>
        </w:rPr>
        <w:t xml:space="preserve">also </w:t>
      </w:r>
      <w:r w:rsidR="003C4650">
        <w:rPr>
          <w:rFonts w:eastAsia="Calibri" w:cs="Arial"/>
          <w:lang w:bidi="ar-SA"/>
        </w:rPr>
        <w:t>seek</w:t>
      </w:r>
      <w:r>
        <w:rPr>
          <w:rFonts w:eastAsia="Calibri" w:cs="Arial"/>
          <w:lang w:bidi="ar-SA"/>
        </w:rPr>
        <w:t>ing</w:t>
      </w:r>
      <w:r w:rsidR="00BB6482" w:rsidRPr="004D5E67">
        <w:rPr>
          <w:rFonts w:eastAsia="Calibri" w:cs="Arial"/>
          <w:lang w:bidi="ar-SA"/>
        </w:rPr>
        <w:t xml:space="preserve"> to determine whether current risk mitigation measures employed by </w:t>
      </w:r>
      <w:r w:rsidR="00B26833">
        <w:rPr>
          <w:rFonts w:eastAsia="Calibri" w:cs="Arial"/>
          <w:lang w:bidi="ar-SA"/>
        </w:rPr>
        <w:t xml:space="preserve">industry </w:t>
      </w:r>
      <w:r w:rsidR="00BB6482" w:rsidRPr="004D5E67">
        <w:rPr>
          <w:rFonts w:eastAsia="Calibri" w:cs="Arial"/>
          <w:lang w:bidi="ar-SA"/>
        </w:rPr>
        <w:t xml:space="preserve">are sufficient to address any risks or whether other measures might be needed. </w:t>
      </w:r>
    </w:p>
    <w:p w14:paraId="54EF7A85" w14:textId="77777777" w:rsidR="00BB6482" w:rsidRDefault="00BB6482" w:rsidP="006502CD">
      <w:pPr>
        <w:widowControl/>
        <w:rPr>
          <w:rFonts w:eastAsia="Calibri" w:cs="Arial"/>
          <w:lang w:bidi="ar-SA"/>
        </w:rPr>
      </w:pPr>
    </w:p>
    <w:p w14:paraId="51D9231E" w14:textId="7C05E900" w:rsidR="00241874" w:rsidRDefault="00B26833" w:rsidP="006502CD">
      <w:pPr>
        <w:widowControl/>
        <w:rPr>
          <w:rFonts w:eastAsia="Calibri"/>
        </w:rPr>
      </w:pPr>
      <w:r>
        <w:rPr>
          <w:rFonts w:eastAsia="Calibri" w:cs="Arial"/>
          <w:lang w:bidi="ar-SA"/>
        </w:rPr>
        <w:t>FSANZ is considering c</w:t>
      </w:r>
      <w:r w:rsidR="00241874" w:rsidRPr="00241874">
        <w:rPr>
          <w:rFonts w:eastAsia="Calibri" w:cs="Arial"/>
          <w:lang w:bidi="ar-SA"/>
        </w:rPr>
        <w:t>hemicals migrating from packaging materials into food offered for retail sale (including food sold for catering purposes)</w:t>
      </w:r>
      <w:r w:rsidR="00E76ACC">
        <w:rPr>
          <w:rFonts w:eastAsia="Calibri" w:cs="Arial"/>
          <w:lang w:bidi="ar-SA"/>
        </w:rPr>
        <w:t xml:space="preserve"> </w:t>
      </w:r>
      <w:r>
        <w:rPr>
          <w:rFonts w:eastAsia="Calibri" w:cs="Arial"/>
          <w:lang w:bidi="ar-SA"/>
        </w:rPr>
        <w:t xml:space="preserve">and chemicals that could migrate to food indirectly e.g. during the </w:t>
      </w:r>
      <w:r w:rsidR="002A3773">
        <w:rPr>
          <w:rFonts w:eastAsia="Calibri" w:cs="Arial"/>
          <w:lang w:bidi="ar-SA"/>
        </w:rPr>
        <w:t xml:space="preserve">food </w:t>
      </w:r>
      <w:r>
        <w:rPr>
          <w:rFonts w:eastAsia="Calibri" w:cs="Arial"/>
          <w:lang w:bidi="ar-SA"/>
        </w:rPr>
        <w:t xml:space="preserve">manufacturing process. </w:t>
      </w:r>
      <w:r w:rsidR="002A3773">
        <w:rPr>
          <w:rFonts w:eastAsia="Calibri" w:cs="Arial"/>
          <w:lang w:bidi="ar-SA"/>
        </w:rPr>
        <w:t>Subsequent work</w:t>
      </w:r>
      <w:r w:rsidR="0019285B">
        <w:t xml:space="preserve"> </w:t>
      </w:r>
      <w:r>
        <w:t xml:space="preserve">will explore </w:t>
      </w:r>
      <w:r w:rsidR="0019285B">
        <w:t>new technologies</w:t>
      </w:r>
      <w:r w:rsidR="00EB5A0D">
        <w:t xml:space="preserve"> i.e.</w:t>
      </w:r>
      <w:r w:rsidR="0019285B">
        <w:t xml:space="preserve"> active and intelligent packaging; modified atmosphere packaging; and nanomaterials</w:t>
      </w:r>
      <w:r w:rsidR="0019285B" w:rsidRPr="00241874">
        <w:rPr>
          <w:rFonts w:eastAsia="Calibri"/>
        </w:rPr>
        <w:t>.</w:t>
      </w:r>
      <w:r w:rsidR="00B64064" w:rsidRPr="00241874">
        <w:rPr>
          <w:rFonts w:eastAsia="Calibri"/>
        </w:rPr>
        <w:t xml:space="preserve"> </w:t>
      </w:r>
    </w:p>
    <w:p w14:paraId="342B4BC1" w14:textId="77777777" w:rsidR="00EB5A0D" w:rsidRDefault="00EB5A0D" w:rsidP="006502CD">
      <w:pPr>
        <w:widowControl/>
        <w:rPr>
          <w:rFonts w:eastAsia="Calibri" w:cs="Arial"/>
          <w:lang w:bidi="ar-SA"/>
        </w:rPr>
      </w:pPr>
    </w:p>
    <w:p w14:paraId="3954F01A" w14:textId="0A52544A" w:rsidR="000D04A2" w:rsidRDefault="003C4650" w:rsidP="006502CD">
      <w:pPr>
        <w:widowControl/>
        <w:rPr>
          <w:rFonts w:eastAsia="Calibri" w:cs="Arial"/>
          <w:lang w:bidi="ar-SA"/>
        </w:rPr>
      </w:pPr>
      <w:r>
        <w:rPr>
          <w:rFonts w:eastAsia="Calibri" w:cs="Arial"/>
          <w:lang w:bidi="ar-SA"/>
        </w:rPr>
        <w:t>T</w:t>
      </w:r>
      <w:r w:rsidRPr="004D5E67">
        <w:rPr>
          <w:rFonts w:cs="Arial"/>
          <w:color w:val="000000"/>
          <w:szCs w:val="22"/>
          <w:lang w:val="en-AU" w:eastAsia="en-AU" w:bidi="ar-SA"/>
        </w:rPr>
        <w:t xml:space="preserve">here is significant global trade in packaged food products and Australia/New Zealand are part of this market. </w:t>
      </w:r>
      <w:r w:rsidR="005961D8" w:rsidRPr="004D5E67">
        <w:rPr>
          <w:rFonts w:eastAsia="Calibri" w:cs="Arial"/>
          <w:lang w:bidi="ar-SA"/>
        </w:rPr>
        <w:t>T</w:t>
      </w:r>
      <w:r w:rsidR="006502CD" w:rsidRPr="004D5E67">
        <w:rPr>
          <w:rFonts w:eastAsia="Calibri" w:cs="Arial"/>
          <w:lang w:bidi="ar-SA"/>
        </w:rPr>
        <w:t xml:space="preserve">he </w:t>
      </w:r>
      <w:r w:rsidR="005961D8" w:rsidRPr="004D5E67">
        <w:rPr>
          <w:rFonts w:eastAsia="Calibri" w:cs="Arial"/>
          <w:lang w:bidi="ar-SA"/>
        </w:rPr>
        <w:t>value</w:t>
      </w:r>
      <w:r w:rsidR="006502CD" w:rsidRPr="004D5E67">
        <w:rPr>
          <w:rFonts w:eastAsia="Calibri" w:cs="Arial"/>
          <w:lang w:bidi="ar-SA"/>
        </w:rPr>
        <w:t xml:space="preserve"> of food packaging </w:t>
      </w:r>
      <w:r w:rsidR="005961D8" w:rsidRPr="004D5E67">
        <w:rPr>
          <w:rFonts w:eastAsia="Calibri" w:cs="Arial"/>
          <w:lang w:bidi="ar-SA"/>
        </w:rPr>
        <w:t>is far-reaching</w:t>
      </w:r>
      <w:r w:rsidR="00E76ACC">
        <w:rPr>
          <w:rFonts w:eastAsia="Calibri" w:cs="Arial"/>
          <w:lang w:bidi="ar-SA"/>
        </w:rPr>
        <w:t xml:space="preserve">. </w:t>
      </w:r>
      <w:r w:rsidR="005961D8" w:rsidRPr="004D5E67">
        <w:rPr>
          <w:rFonts w:eastAsia="Calibri" w:cs="Arial"/>
          <w:lang w:bidi="ar-SA"/>
        </w:rPr>
        <w:t>It enables</w:t>
      </w:r>
      <w:r w:rsidR="006502CD" w:rsidRPr="004D5E67">
        <w:rPr>
          <w:rFonts w:eastAsia="Calibri" w:cs="Arial"/>
          <w:lang w:bidi="ar-SA"/>
        </w:rPr>
        <w:t xml:space="preserve"> food to be transported, prevent</w:t>
      </w:r>
      <w:r w:rsidR="005961D8" w:rsidRPr="004D5E67">
        <w:rPr>
          <w:rFonts w:eastAsia="Calibri" w:cs="Arial"/>
          <w:lang w:bidi="ar-SA"/>
        </w:rPr>
        <w:t>s</w:t>
      </w:r>
      <w:r>
        <w:rPr>
          <w:rFonts w:eastAsia="Calibri" w:cs="Arial"/>
          <w:lang w:bidi="ar-SA"/>
        </w:rPr>
        <w:t xml:space="preserve"> microbial contamination, </w:t>
      </w:r>
      <w:r w:rsidR="006502CD" w:rsidRPr="004D5E67">
        <w:rPr>
          <w:rFonts w:eastAsia="Calibri" w:cs="Arial"/>
          <w:lang w:bidi="ar-SA"/>
        </w:rPr>
        <w:t>increas</w:t>
      </w:r>
      <w:r w:rsidR="005961D8" w:rsidRPr="004D5E67">
        <w:rPr>
          <w:rFonts w:eastAsia="Calibri" w:cs="Arial"/>
          <w:lang w:bidi="ar-SA"/>
        </w:rPr>
        <w:t>es</w:t>
      </w:r>
      <w:r w:rsidR="006502CD" w:rsidRPr="004D5E67">
        <w:rPr>
          <w:rFonts w:eastAsia="Calibri" w:cs="Arial"/>
          <w:lang w:bidi="ar-SA"/>
        </w:rPr>
        <w:t xml:space="preserve"> shelf life</w:t>
      </w:r>
      <w:r>
        <w:rPr>
          <w:rFonts w:eastAsia="Calibri" w:cs="Arial"/>
          <w:lang w:bidi="ar-SA"/>
        </w:rPr>
        <w:t xml:space="preserve"> and conveys information whilst </w:t>
      </w:r>
      <w:r w:rsidR="006502CD" w:rsidRPr="004D5E67">
        <w:rPr>
          <w:rFonts w:eastAsia="Calibri" w:cs="Arial"/>
          <w:lang w:bidi="ar-SA"/>
        </w:rPr>
        <w:t xml:space="preserve">providing convenience for consumers. </w:t>
      </w:r>
      <w:r w:rsidR="005961D8" w:rsidRPr="004D5E67">
        <w:rPr>
          <w:rFonts w:eastAsia="Calibri" w:cs="Arial"/>
          <w:lang w:bidi="ar-SA"/>
        </w:rPr>
        <w:t>However t</w:t>
      </w:r>
      <w:r w:rsidR="006502CD" w:rsidRPr="004D5E67">
        <w:rPr>
          <w:rFonts w:eastAsia="Calibri" w:cs="Arial"/>
          <w:lang w:bidi="ar-SA"/>
        </w:rPr>
        <w:t>here are many chemicals involved in the manufacture of packaging and some have potential to migrate into food</w:t>
      </w:r>
      <w:r w:rsidR="00E910D1">
        <w:rPr>
          <w:rStyle w:val="FootnoteReference"/>
          <w:rFonts w:eastAsia="Calibri" w:cs="Arial"/>
          <w:lang w:bidi="ar-SA"/>
        </w:rPr>
        <w:footnoteReference w:id="2"/>
      </w:r>
      <w:r w:rsidR="006502CD" w:rsidRPr="004D5E67">
        <w:rPr>
          <w:rFonts w:eastAsia="Calibri" w:cs="Arial"/>
          <w:lang w:bidi="ar-SA"/>
        </w:rPr>
        <w:t xml:space="preserve">. </w:t>
      </w:r>
      <w:r w:rsidR="00A93910" w:rsidRPr="004D5E67">
        <w:rPr>
          <w:color w:val="000000"/>
          <w:szCs w:val="22"/>
          <w:lang w:val="en-AU" w:eastAsia="en-AU"/>
        </w:rPr>
        <w:t>T</w:t>
      </w:r>
      <w:r w:rsidR="00A93910" w:rsidRPr="004D5E67">
        <w:t xml:space="preserve">here is also </w:t>
      </w:r>
      <w:r w:rsidR="00D455D6">
        <w:t>increased demand for the</w:t>
      </w:r>
      <w:r w:rsidR="00A93910" w:rsidRPr="004D5E67">
        <w:t xml:space="preserve"> use of recycled </w:t>
      </w:r>
      <w:r w:rsidR="006F6904">
        <w:t xml:space="preserve">packaging </w:t>
      </w:r>
      <w:r w:rsidR="00A93910" w:rsidRPr="004D5E67">
        <w:t xml:space="preserve">materials and potential for chemical migration from unknown complex </w:t>
      </w:r>
      <w:r w:rsidR="00CB7B3B">
        <w:t xml:space="preserve">mixtures of </w:t>
      </w:r>
      <w:r w:rsidR="00D455D6">
        <w:t xml:space="preserve">recycled and re-used packaging </w:t>
      </w:r>
      <w:r w:rsidR="00CB7B3B">
        <w:t>materials</w:t>
      </w:r>
      <w:r w:rsidR="00E76ACC">
        <w:t xml:space="preserve">. </w:t>
      </w:r>
    </w:p>
    <w:p w14:paraId="36140D6F" w14:textId="77777777" w:rsidR="000D04A2" w:rsidRDefault="000D04A2" w:rsidP="006502CD">
      <w:pPr>
        <w:widowControl/>
        <w:rPr>
          <w:rFonts w:eastAsia="Calibri" w:cs="Arial"/>
          <w:lang w:bidi="ar-SA"/>
        </w:rPr>
      </w:pPr>
    </w:p>
    <w:p w14:paraId="40664238" w14:textId="03C276D0" w:rsidR="000D04A2" w:rsidRDefault="000D04A2" w:rsidP="006502CD">
      <w:pPr>
        <w:widowControl/>
        <w:rPr>
          <w:rFonts w:eastAsia="Calibri" w:cs="Arial"/>
          <w:lang w:bidi="ar-SA"/>
        </w:rPr>
      </w:pPr>
      <w:r>
        <w:rPr>
          <w:rFonts w:eastAsia="Calibri" w:cs="Arial"/>
          <w:lang w:bidi="ar-SA"/>
        </w:rPr>
        <w:t xml:space="preserve">Chemical migration is </w:t>
      </w:r>
      <w:r w:rsidR="00572164">
        <w:rPr>
          <w:rFonts w:eastAsia="Calibri" w:cs="Arial"/>
          <w:lang w:bidi="ar-SA"/>
        </w:rPr>
        <w:t xml:space="preserve">influenced </w:t>
      </w:r>
      <w:r>
        <w:rPr>
          <w:rFonts w:eastAsia="Calibri" w:cs="Arial"/>
          <w:lang w:bidi="ar-SA"/>
        </w:rPr>
        <w:t>not only by the composition of the packaging material, but other factors including: t</w:t>
      </w:r>
      <w:r w:rsidRPr="000D04A2">
        <w:rPr>
          <w:rFonts w:eastAsia="Calibri" w:cs="Arial"/>
          <w:lang w:bidi="ar-SA"/>
        </w:rPr>
        <w:t>he nature of food, the</w:t>
      </w:r>
      <w:r>
        <w:rPr>
          <w:rFonts w:eastAsia="Calibri" w:cs="Arial"/>
          <w:lang w:bidi="ar-SA"/>
        </w:rPr>
        <w:t xml:space="preserve"> method of preservation, </w:t>
      </w:r>
      <w:r w:rsidRPr="000D04A2">
        <w:rPr>
          <w:rFonts w:eastAsia="Calibri" w:cs="Arial"/>
          <w:lang w:bidi="ar-SA"/>
        </w:rPr>
        <w:t xml:space="preserve">the </w:t>
      </w:r>
      <w:r>
        <w:rPr>
          <w:rFonts w:eastAsia="Calibri" w:cs="Arial"/>
          <w:lang w:bidi="ar-SA"/>
        </w:rPr>
        <w:t xml:space="preserve">ambient </w:t>
      </w:r>
      <w:r w:rsidR="00C5647D">
        <w:rPr>
          <w:rFonts w:eastAsia="Calibri" w:cs="Arial"/>
          <w:lang w:bidi="ar-SA"/>
        </w:rPr>
        <w:t xml:space="preserve">oxygen, moisture, light, </w:t>
      </w:r>
      <w:r>
        <w:rPr>
          <w:rFonts w:eastAsia="Calibri" w:cs="Arial"/>
          <w:lang w:bidi="ar-SA"/>
        </w:rPr>
        <w:t xml:space="preserve">temperature and </w:t>
      </w:r>
      <w:r w:rsidRPr="000D04A2">
        <w:rPr>
          <w:rFonts w:eastAsia="Calibri" w:cs="Arial"/>
          <w:lang w:bidi="ar-SA"/>
        </w:rPr>
        <w:t xml:space="preserve">shelf life </w:t>
      </w:r>
      <w:r w:rsidR="000306C5">
        <w:rPr>
          <w:rFonts w:eastAsia="Calibri" w:cs="Arial"/>
          <w:lang w:bidi="ar-SA"/>
        </w:rPr>
        <w:t>of</w:t>
      </w:r>
      <w:r w:rsidR="00B51BB8">
        <w:rPr>
          <w:rFonts w:eastAsia="Calibri" w:cs="Arial"/>
          <w:lang w:bidi="ar-SA"/>
        </w:rPr>
        <w:t xml:space="preserve"> th</w:t>
      </w:r>
      <w:r w:rsidR="003E4CE7">
        <w:rPr>
          <w:rFonts w:eastAsia="Calibri" w:cs="Arial"/>
          <w:lang w:bidi="ar-SA"/>
        </w:rPr>
        <w:t>e food (Cirillo et al.;</w:t>
      </w:r>
      <w:r w:rsidR="00B51BB8">
        <w:rPr>
          <w:rFonts w:eastAsia="Calibri" w:cs="Arial"/>
          <w:lang w:bidi="ar-SA"/>
        </w:rPr>
        <w:t xml:space="preserve"> 2013; Muncke, 2014; Robertson, 2013).</w:t>
      </w:r>
      <w:r>
        <w:rPr>
          <w:rFonts w:eastAsia="Calibri" w:cs="Arial"/>
          <w:lang w:bidi="ar-SA"/>
        </w:rPr>
        <w:t xml:space="preserve"> All these factors</w:t>
      </w:r>
      <w:r w:rsidRPr="000D04A2">
        <w:rPr>
          <w:rFonts w:eastAsia="Calibri" w:cs="Arial"/>
          <w:lang w:bidi="ar-SA"/>
        </w:rPr>
        <w:t xml:space="preserve"> </w:t>
      </w:r>
      <w:r w:rsidR="000306C5">
        <w:rPr>
          <w:rFonts w:eastAsia="Calibri" w:cs="Arial"/>
          <w:lang w:bidi="ar-SA"/>
        </w:rPr>
        <w:t>affect</w:t>
      </w:r>
      <w:r w:rsidRPr="000D04A2">
        <w:rPr>
          <w:rFonts w:eastAsia="Calibri" w:cs="Arial"/>
          <w:lang w:bidi="ar-SA"/>
        </w:rPr>
        <w:t xml:space="preserve"> </w:t>
      </w:r>
      <w:r w:rsidR="00572164">
        <w:rPr>
          <w:rFonts w:eastAsia="Calibri" w:cs="Arial"/>
          <w:lang w:bidi="ar-SA"/>
        </w:rPr>
        <w:t>whether chemicals migrate into food from packaging</w:t>
      </w:r>
      <w:r w:rsidR="00BB6482">
        <w:rPr>
          <w:rFonts w:eastAsia="Calibri" w:cs="Arial"/>
          <w:lang w:bidi="ar-SA"/>
        </w:rPr>
        <w:t>.</w:t>
      </w:r>
      <w:r w:rsidR="00605C0C">
        <w:rPr>
          <w:rFonts w:eastAsia="Calibri" w:cs="Arial"/>
          <w:lang w:bidi="ar-SA"/>
        </w:rPr>
        <w:t xml:space="preserve"> </w:t>
      </w:r>
    </w:p>
    <w:p w14:paraId="56BCCB2D" w14:textId="0FE39229" w:rsidR="00F5194E" w:rsidRPr="004D5E67" w:rsidRDefault="00F5194E" w:rsidP="00F3254A">
      <w:pPr>
        <w:rPr>
          <w:rFonts w:eastAsia="Calibri"/>
          <w:lang w:bidi="ar-SA"/>
        </w:rPr>
      </w:pPr>
      <w:r w:rsidRPr="004D5E67">
        <w:t xml:space="preserve">    </w:t>
      </w:r>
    </w:p>
    <w:p w14:paraId="7320D00A" w14:textId="0B3F1226" w:rsidR="00A63812" w:rsidRDefault="00A63812" w:rsidP="00A63812">
      <w:pPr>
        <w:rPr>
          <w:rFonts w:eastAsia="Calibri"/>
          <w:lang w:bidi="ar-SA"/>
        </w:rPr>
      </w:pPr>
      <w:r w:rsidRPr="004D5E67">
        <w:rPr>
          <w:rFonts w:eastAsia="Calibri"/>
          <w:lang w:bidi="ar-SA"/>
        </w:rPr>
        <w:t xml:space="preserve">This </w:t>
      </w:r>
      <w:r w:rsidR="007A21C4">
        <w:rPr>
          <w:rFonts w:eastAsia="Calibri"/>
          <w:lang w:bidi="ar-SA"/>
        </w:rPr>
        <w:t>Proposal</w:t>
      </w:r>
      <w:r w:rsidR="007A21C4" w:rsidRPr="004D5E67">
        <w:rPr>
          <w:rFonts w:eastAsia="Calibri"/>
          <w:lang w:bidi="ar-SA"/>
        </w:rPr>
        <w:t xml:space="preserve"> </w:t>
      </w:r>
      <w:r w:rsidR="00D35013">
        <w:rPr>
          <w:rFonts w:eastAsia="Calibri"/>
          <w:lang w:bidi="ar-SA"/>
        </w:rPr>
        <w:t>has prompted</w:t>
      </w:r>
      <w:r w:rsidR="00D35013" w:rsidRPr="004D5E67">
        <w:rPr>
          <w:rFonts w:eastAsia="Calibri"/>
          <w:lang w:bidi="ar-SA"/>
        </w:rPr>
        <w:t xml:space="preserve"> </w:t>
      </w:r>
      <w:r w:rsidRPr="004D5E67">
        <w:rPr>
          <w:rFonts w:eastAsia="Calibri"/>
          <w:lang w:bidi="ar-SA"/>
        </w:rPr>
        <w:t>a</w:t>
      </w:r>
      <w:r w:rsidR="00D35013">
        <w:rPr>
          <w:rFonts w:eastAsia="Calibri"/>
          <w:lang w:bidi="ar-SA"/>
        </w:rPr>
        <w:t>n</w:t>
      </w:r>
      <w:r w:rsidRPr="004D5E67">
        <w:rPr>
          <w:rFonts w:eastAsia="Calibri"/>
          <w:lang w:bidi="ar-SA"/>
        </w:rPr>
        <w:t xml:space="preserve"> </w:t>
      </w:r>
      <w:r w:rsidR="00D35013">
        <w:rPr>
          <w:rFonts w:eastAsia="Calibri"/>
          <w:lang w:bidi="ar-SA"/>
        </w:rPr>
        <w:t xml:space="preserve">appraisal </w:t>
      </w:r>
      <w:r w:rsidRPr="004D5E67">
        <w:rPr>
          <w:rFonts w:eastAsia="Calibri"/>
          <w:lang w:bidi="ar-SA"/>
        </w:rPr>
        <w:t xml:space="preserve">of requirements relating to food packaging in the </w:t>
      </w:r>
      <w:r w:rsidRPr="00D35013">
        <w:rPr>
          <w:rFonts w:eastAsia="Calibri"/>
          <w:i/>
          <w:lang w:bidi="ar-SA"/>
        </w:rPr>
        <w:t>Australia New Zealand Food Standards Code</w:t>
      </w:r>
      <w:r w:rsidRPr="004D5E67">
        <w:rPr>
          <w:rFonts w:eastAsia="Calibri"/>
          <w:lang w:bidi="ar-SA"/>
        </w:rPr>
        <w:t xml:space="preserve"> (the Code). The Code includes</w:t>
      </w:r>
      <w:r>
        <w:rPr>
          <w:rFonts w:eastAsia="Calibri"/>
          <w:lang w:bidi="ar-SA"/>
        </w:rPr>
        <w:t>:</w:t>
      </w:r>
    </w:p>
    <w:p w14:paraId="6F2F518F" w14:textId="77777777" w:rsidR="000D04A2" w:rsidRDefault="000D04A2" w:rsidP="00A63812">
      <w:pPr>
        <w:rPr>
          <w:rFonts w:eastAsia="Calibri"/>
          <w:lang w:bidi="ar-SA"/>
        </w:rPr>
      </w:pPr>
    </w:p>
    <w:p w14:paraId="576EC53A" w14:textId="4F76E236" w:rsidR="00A63812" w:rsidRDefault="00E76ACC" w:rsidP="00D35013">
      <w:pPr>
        <w:pStyle w:val="FSBullet1"/>
        <w:rPr>
          <w:rFonts w:eastAsia="Calibri"/>
        </w:rPr>
      </w:pPr>
      <w:r>
        <w:rPr>
          <w:rFonts w:eastAsia="Calibri"/>
        </w:rPr>
        <w:t>o</w:t>
      </w:r>
      <w:r w:rsidR="00A63812">
        <w:rPr>
          <w:rFonts w:eastAsia="Calibri"/>
        </w:rPr>
        <w:t>utcomes</w:t>
      </w:r>
      <w:r>
        <w:rPr>
          <w:rFonts w:eastAsia="Calibri"/>
        </w:rPr>
        <w:t>-</w:t>
      </w:r>
      <w:r w:rsidR="00A63812">
        <w:rPr>
          <w:rFonts w:eastAsia="Calibri"/>
        </w:rPr>
        <w:t xml:space="preserve">based standards that have general requirements for </w:t>
      </w:r>
      <w:r w:rsidR="00A63812" w:rsidRPr="00A63812">
        <w:rPr>
          <w:rFonts w:eastAsia="Calibri"/>
        </w:rPr>
        <w:t xml:space="preserve">packaging materials </w:t>
      </w:r>
      <w:r w:rsidR="00A63812">
        <w:rPr>
          <w:rFonts w:eastAsia="Calibri"/>
        </w:rPr>
        <w:t>to</w:t>
      </w:r>
      <w:r w:rsidR="00A63812" w:rsidRPr="00A63812">
        <w:rPr>
          <w:rFonts w:eastAsia="Calibri"/>
        </w:rPr>
        <w:t xml:space="preserve"> be fit for their intended use and not contaminate food</w:t>
      </w:r>
    </w:p>
    <w:p w14:paraId="2056202B" w14:textId="05E8AF28" w:rsidR="00A63812" w:rsidRDefault="00E76ACC" w:rsidP="00CA328E">
      <w:pPr>
        <w:pStyle w:val="FSBullet1"/>
        <w:rPr>
          <w:rFonts w:eastAsia="Calibri"/>
        </w:rPr>
      </w:pPr>
      <w:proofErr w:type="gramStart"/>
      <w:r>
        <w:rPr>
          <w:rFonts w:eastAsia="Calibri"/>
        </w:rPr>
        <w:t>s</w:t>
      </w:r>
      <w:r w:rsidR="00A63812">
        <w:rPr>
          <w:rFonts w:eastAsia="Calibri"/>
        </w:rPr>
        <w:t>pecific</w:t>
      </w:r>
      <w:proofErr w:type="gramEnd"/>
      <w:r w:rsidR="00A63812">
        <w:rPr>
          <w:rFonts w:eastAsia="Calibri"/>
        </w:rPr>
        <w:t xml:space="preserve"> requirements that regulate the use of </w:t>
      </w:r>
      <w:r w:rsidR="00A63812" w:rsidRPr="00A63812">
        <w:rPr>
          <w:rFonts w:eastAsia="Calibri"/>
        </w:rPr>
        <w:t xml:space="preserve">three </w:t>
      </w:r>
      <w:r w:rsidR="00A63812">
        <w:rPr>
          <w:rFonts w:eastAsia="Calibri"/>
        </w:rPr>
        <w:t xml:space="preserve">particular </w:t>
      </w:r>
      <w:r w:rsidR="00A63812" w:rsidRPr="00A63812">
        <w:rPr>
          <w:rFonts w:eastAsia="Calibri"/>
        </w:rPr>
        <w:t>packaging-related contaminants</w:t>
      </w:r>
      <w:r w:rsidR="00A60348">
        <w:rPr>
          <w:rFonts w:eastAsia="Calibri"/>
        </w:rPr>
        <w:t>, for example in Standard 1.4.1</w:t>
      </w:r>
      <w:r w:rsidR="00A63812" w:rsidRPr="00A63812">
        <w:rPr>
          <w:rFonts w:eastAsia="Calibri"/>
        </w:rPr>
        <w:t>.</w:t>
      </w:r>
    </w:p>
    <w:p w14:paraId="1CB21E5C" w14:textId="77777777" w:rsidR="000D04A2" w:rsidRDefault="000D04A2" w:rsidP="00811C0B">
      <w:pPr>
        <w:rPr>
          <w:rFonts w:eastAsia="Calibri"/>
        </w:rPr>
      </w:pPr>
    </w:p>
    <w:p w14:paraId="5479AD59" w14:textId="1A9F1ABA" w:rsidR="00A63812" w:rsidRDefault="00A63812" w:rsidP="00A63812">
      <w:pPr>
        <w:rPr>
          <w:rFonts w:eastAsia="Calibri"/>
        </w:rPr>
      </w:pPr>
      <w:r w:rsidRPr="00A63812">
        <w:rPr>
          <w:rFonts w:eastAsia="Calibri"/>
        </w:rPr>
        <w:t xml:space="preserve">In contrast, the United States </w:t>
      </w:r>
      <w:r w:rsidR="00E76ACC">
        <w:rPr>
          <w:rFonts w:eastAsia="Calibri"/>
        </w:rPr>
        <w:t xml:space="preserve">of America </w:t>
      </w:r>
      <w:r w:rsidRPr="00A63812">
        <w:rPr>
          <w:rFonts w:eastAsia="Calibri"/>
        </w:rPr>
        <w:t>(US</w:t>
      </w:r>
      <w:r w:rsidR="00E76ACC">
        <w:rPr>
          <w:rFonts w:eastAsia="Calibri"/>
        </w:rPr>
        <w:t>A</w:t>
      </w:r>
      <w:r w:rsidRPr="00A63812">
        <w:rPr>
          <w:rFonts w:eastAsia="Calibri"/>
        </w:rPr>
        <w:t xml:space="preserve">) and member countries of the European Union (EU) have more specific </w:t>
      </w:r>
      <w:r w:rsidR="00BA0FFE">
        <w:rPr>
          <w:rFonts w:eastAsia="Calibri"/>
        </w:rPr>
        <w:t xml:space="preserve">and prescriptive </w:t>
      </w:r>
      <w:r w:rsidRPr="00A63812">
        <w:rPr>
          <w:rFonts w:eastAsia="Calibri"/>
        </w:rPr>
        <w:t>requirements to control CMPF. These benchmark regulations are recognised globally and most other countries either adopt them or use them as the foundation for their own regulations</w:t>
      </w:r>
      <w:r>
        <w:rPr>
          <w:rStyle w:val="FootnoteReference"/>
          <w:rFonts w:eastAsia="Calibri"/>
          <w:lang w:bidi="ar-SA"/>
        </w:rPr>
        <w:footnoteReference w:id="3"/>
      </w:r>
      <w:r w:rsidR="00462A77">
        <w:rPr>
          <w:rFonts w:eastAsia="Calibri"/>
        </w:rPr>
        <w:t xml:space="preserve">. </w:t>
      </w:r>
    </w:p>
    <w:p w14:paraId="783B35BF" w14:textId="77777777" w:rsidR="005C0766" w:rsidRPr="00A63812" w:rsidRDefault="005C0766" w:rsidP="00A63812">
      <w:pPr>
        <w:rPr>
          <w:rFonts w:eastAsia="Calibri"/>
        </w:rPr>
      </w:pPr>
    </w:p>
    <w:p w14:paraId="48F7BDE5" w14:textId="77777777" w:rsidR="00462A77" w:rsidRDefault="00462A77" w:rsidP="00A93910">
      <w:pPr>
        <w:pStyle w:val="FSBullet1"/>
        <w:numPr>
          <w:ilvl w:val="0"/>
          <w:numId w:val="0"/>
        </w:numPr>
        <w:rPr>
          <w:color w:val="000000"/>
          <w:szCs w:val="22"/>
          <w:lang w:val="en-AU" w:eastAsia="en-AU"/>
        </w:rPr>
      </w:pPr>
      <w:r>
        <w:rPr>
          <w:color w:val="000000"/>
          <w:szCs w:val="22"/>
          <w:lang w:val="en-AU" w:eastAsia="en-AU"/>
        </w:rPr>
        <w:br w:type="page"/>
      </w:r>
    </w:p>
    <w:p w14:paraId="184312FE" w14:textId="02CB3688" w:rsidR="00EA772F" w:rsidRPr="004D5E67" w:rsidRDefault="00A93910" w:rsidP="00A93910">
      <w:pPr>
        <w:pStyle w:val="FSBullet1"/>
        <w:numPr>
          <w:ilvl w:val="0"/>
          <w:numId w:val="0"/>
        </w:numPr>
        <w:rPr>
          <w:color w:val="000000"/>
          <w:szCs w:val="22"/>
          <w:lang w:val="en-AU" w:eastAsia="en-AU"/>
        </w:rPr>
      </w:pPr>
      <w:r w:rsidRPr="004D5E67">
        <w:rPr>
          <w:color w:val="000000"/>
          <w:szCs w:val="22"/>
          <w:lang w:val="en-AU" w:eastAsia="en-AU"/>
        </w:rPr>
        <w:lastRenderedPageBreak/>
        <w:t>D</w:t>
      </w:r>
      <w:r w:rsidR="00EA772F" w:rsidRPr="004D5E67">
        <w:rPr>
          <w:color w:val="000000"/>
          <w:szCs w:val="22"/>
          <w:lang w:val="en-AU" w:eastAsia="en-AU"/>
        </w:rPr>
        <w:t xml:space="preserve">espite industry’s uptake of a range of </w:t>
      </w:r>
      <w:r w:rsidR="00447170">
        <w:rPr>
          <w:color w:val="000000"/>
          <w:szCs w:val="22"/>
          <w:lang w:val="en-AU" w:eastAsia="en-AU"/>
        </w:rPr>
        <w:t xml:space="preserve">international </w:t>
      </w:r>
      <w:r w:rsidR="00EA772F" w:rsidRPr="004D5E67">
        <w:rPr>
          <w:color w:val="000000"/>
          <w:szCs w:val="22"/>
          <w:lang w:val="en-AU" w:eastAsia="en-AU"/>
        </w:rPr>
        <w:t>regulatory and non-regulatory risk</w:t>
      </w:r>
      <w:r w:rsidR="00253D50">
        <w:rPr>
          <w:color w:val="000000"/>
          <w:szCs w:val="22"/>
          <w:lang w:val="en-AU" w:eastAsia="en-AU"/>
        </w:rPr>
        <w:t xml:space="preserve"> </w:t>
      </w:r>
      <w:r w:rsidR="00EA772F" w:rsidRPr="004D5E67">
        <w:rPr>
          <w:color w:val="000000"/>
          <w:szCs w:val="22"/>
          <w:lang w:val="en-AU" w:eastAsia="en-AU"/>
        </w:rPr>
        <w:t>mitigation measures</w:t>
      </w:r>
      <w:r w:rsidR="00CB7B3B">
        <w:rPr>
          <w:color w:val="000000"/>
          <w:szCs w:val="22"/>
          <w:lang w:val="en-AU" w:eastAsia="en-AU"/>
        </w:rPr>
        <w:t xml:space="preserve"> (e.g. quality assurance and supplier assurance measures)</w:t>
      </w:r>
      <w:r w:rsidR="00EA772F" w:rsidRPr="004D5E67">
        <w:rPr>
          <w:color w:val="000000"/>
          <w:szCs w:val="22"/>
          <w:lang w:val="en-AU" w:eastAsia="en-AU"/>
        </w:rPr>
        <w:t>, there have been several international responses (including recalls) relating to CMPF</w:t>
      </w:r>
      <w:r w:rsidR="006B527E">
        <w:rPr>
          <w:rStyle w:val="FootnoteReference"/>
          <w:color w:val="000000"/>
          <w:szCs w:val="22"/>
          <w:lang w:val="en-AU" w:eastAsia="en-AU"/>
        </w:rPr>
        <w:footnoteReference w:id="4"/>
      </w:r>
      <w:r w:rsidR="00EA772F" w:rsidRPr="004D5E67">
        <w:rPr>
          <w:color w:val="000000"/>
          <w:szCs w:val="22"/>
          <w:lang w:val="en-AU" w:eastAsia="en-AU"/>
        </w:rPr>
        <w:t xml:space="preserve">. Some of these incidents arose because of new evaluations of contaminants by regulatory agencies and/or some </w:t>
      </w:r>
      <w:r w:rsidR="00253D50" w:rsidRPr="004D5E67">
        <w:rPr>
          <w:color w:val="000000"/>
          <w:szCs w:val="22"/>
          <w:lang w:val="en-AU" w:eastAsia="en-AU"/>
        </w:rPr>
        <w:t>permission</w:t>
      </w:r>
      <w:r w:rsidR="00EA772F" w:rsidRPr="004D5E67">
        <w:rPr>
          <w:color w:val="000000"/>
          <w:szCs w:val="22"/>
          <w:lang w:val="en-AU" w:eastAsia="en-AU"/>
        </w:rPr>
        <w:t xml:space="preserve"> for packaging materials </w:t>
      </w:r>
      <w:r w:rsidR="005A662A">
        <w:rPr>
          <w:color w:val="000000"/>
          <w:szCs w:val="22"/>
          <w:lang w:val="en-AU" w:eastAsia="en-AU"/>
        </w:rPr>
        <w:t xml:space="preserve">no longer being in use </w:t>
      </w:r>
      <w:r w:rsidR="00EA772F" w:rsidRPr="004D5E67">
        <w:rPr>
          <w:color w:val="000000"/>
          <w:szCs w:val="22"/>
          <w:lang w:val="en-AU" w:eastAsia="en-AU"/>
        </w:rPr>
        <w:t xml:space="preserve">in </w:t>
      </w:r>
      <w:r w:rsidR="005A662A">
        <w:rPr>
          <w:color w:val="000000"/>
          <w:szCs w:val="22"/>
          <w:lang w:val="en-AU" w:eastAsia="en-AU"/>
        </w:rPr>
        <w:t xml:space="preserve">packaging in </w:t>
      </w:r>
      <w:r w:rsidR="00EA772F" w:rsidRPr="004D5E67">
        <w:rPr>
          <w:color w:val="000000"/>
          <w:szCs w:val="22"/>
          <w:lang w:val="en-AU" w:eastAsia="en-AU"/>
        </w:rPr>
        <w:t>the EU or US</w:t>
      </w:r>
      <w:r w:rsidR="00E76ACC">
        <w:rPr>
          <w:color w:val="000000"/>
          <w:szCs w:val="22"/>
          <w:lang w:val="en-AU" w:eastAsia="en-AU"/>
        </w:rPr>
        <w:t>A</w:t>
      </w:r>
      <w:r w:rsidR="00EA772F" w:rsidRPr="004D5E67">
        <w:rPr>
          <w:color w:val="000000"/>
          <w:szCs w:val="22"/>
          <w:lang w:val="en-AU" w:eastAsia="en-AU"/>
        </w:rPr>
        <w:t xml:space="preserve">. Some of these incidents have been traced back to inadequate quality assurance or control practices in the packaging supply chain. In these instances </w:t>
      </w:r>
      <w:r w:rsidR="007B6097">
        <w:rPr>
          <w:color w:val="000000"/>
          <w:szCs w:val="22"/>
          <w:lang w:val="en-AU" w:eastAsia="en-AU"/>
        </w:rPr>
        <w:t xml:space="preserve">some </w:t>
      </w:r>
      <w:r w:rsidR="00EA772F" w:rsidRPr="004D5E67">
        <w:rPr>
          <w:color w:val="000000"/>
          <w:szCs w:val="22"/>
          <w:lang w:val="en-AU" w:eastAsia="en-AU"/>
        </w:rPr>
        <w:t>industry</w:t>
      </w:r>
      <w:r w:rsidR="007B6097">
        <w:rPr>
          <w:color w:val="000000"/>
          <w:szCs w:val="22"/>
          <w:lang w:val="en-AU" w:eastAsia="en-AU"/>
        </w:rPr>
        <w:t xml:space="preserve"> members</w:t>
      </w:r>
      <w:r w:rsidR="00EA772F" w:rsidRPr="004D5E67">
        <w:rPr>
          <w:color w:val="000000"/>
          <w:szCs w:val="22"/>
          <w:lang w:val="en-AU" w:eastAsia="en-AU"/>
        </w:rPr>
        <w:t xml:space="preserve"> responded by reformulating and phasing-out certain materials. </w:t>
      </w:r>
      <w:r w:rsidR="00946479">
        <w:rPr>
          <w:color w:val="000000"/>
          <w:szCs w:val="22"/>
          <w:lang w:val="en-AU" w:eastAsia="en-AU"/>
        </w:rPr>
        <w:t>However, c</w:t>
      </w:r>
      <w:r w:rsidR="002A3773">
        <w:rPr>
          <w:color w:val="000000"/>
          <w:szCs w:val="22"/>
          <w:lang w:val="en-AU" w:eastAsia="en-AU"/>
        </w:rPr>
        <w:t xml:space="preserve">onsultations with stakeholders indicate that </w:t>
      </w:r>
      <w:r w:rsidR="00946479">
        <w:rPr>
          <w:color w:val="000000"/>
          <w:szCs w:val="22"/>
          <w:lang w:val="en-AU" w:eastAsia="en-AU"/>
        </w:rPr>
        <w:t xml:space="preserve">in Australia and New Zealand </w:t>
      </w:r>
      <w:r w:rsidR="002A3773">
        <w:rPr>
          <w:color w:val="000000"/>
          <w:szCs w:val="22"/>
          <w:lang w:val="en-AU" w:eastAsia="en-AU"/>
        </w:rPr>
        <w:t>t</w:t>
      </w:r>
      <w:r w:rsidR="007B6097">
        <w:rPr>
          <w:color w:val="000000"/>
          <w:szCs w:val="22"/>
          <w:lang w:val="en-AU" w:eastAsia="en-AU"/>
        </w:rPr>
        <w:t xml:space="preserve">here are </w:t>
      </w:r>
      <w:r w:rsidR="00946479">
        <w:rPr>
          <w:color w:val="000000"/>
          <w:szCs w:val="22"/>
          <w:lang w:val="en-AU" w:eastAsia="en-AU"/>
        </w:rPr>
        <w:t>some</w:t>
      </w:r>
      <w:r w:rsidR="005A662A">
        <w:rPr>
          <w:color w:val="000000"/>
          <w:szCs w:val="22"/>
          <w:lang w:val="en-AU" w:eastAsia="en-AU"/>
        </w:rPr>
        <w:t xml:space="preserve"> </w:t>
      </w:r>
      <w:r w:rsidR="007B6097">
        <w:rPr>
          <w:color w:val="000000"/>
          <w:szCs w:val="22"/>
          <w:lang w:val="en-AU" w:eastAsia="en-AU"/>
        </w:rPr>
        <w:t xml:space="preserve">gaps in the awareness and management of CMPF and control practices are </w:t>
      </w:r>
      <w:r w:rsidR="000306C5">
        <w:rPr>
          <w:color w:val="000000"/>
          <w:szCs w:val="22"/>
          <w:lang w:val="en-AU" w:eastAsia="en-AU"/>
        </w:rPr>
        <w:t>applied inconsistently</w:t>
      </w:r>
      <w:r w:rsidR="007B6097">
        <w:rPr>
          <w:color w:val="000000"/>
          <w:szCs w:val="22"/>
          <w:lang w:val="en-AU" w:eastAsia="en-AU"/>
        </w:rPr>
        <w:t>.</w:t>
      </w:r>
    </w:p>
    <w:p w14:paraId="603C4641" w14:textId="77777777" w:rsidR="00EA772F" w:rsidRPr="004D5E67" w:rsidRDefault="00EA772F" w:rsidP="00EA772F">
      <w:pPr>
        <w:widowControl/>
        <w:rPr>
          <w:rFonts w:cs="Arial"/>
          <w:color w:val="000000"/>
          <w:szCs w:val="22"/>
          <w:lang w:val="en-AU" w:eastAsia="en-AU" w:bidi="ar-SA"/>
        </w:rPr>
      </w:pPr>
    </w:p>
    <w:p w14:paraId="42639672" w14:textId="14E62828" w:rsidR="00EA772F" w:rsidRDefault="00D455D6" w:rsidP="00462A77">
      <w:pPr>
        <w:pStyle w:val="FSBullet1"/>
        <w:numPr>
          <w:ilvl w:val="0"/>
          <w:numId w:val="0"/>
        </w:numPr>
        <w:ind w:right="-286"/>
      </w:pPr>
      <w:r>
        <w:rPr>
          <w:szCs w:val="22"/>
          <w:lang w:val="en-AU" w:eastAsia="en-AU"/>
        </w:rPr>
        <w:t xml:space="preserve">The evidence base for </w:t>
      </w:r>
      <w:r w:rsidR="000306C5">
        <w:rPr>
          <w:szCs w:val="22"/>
          <w:lang w:val="en-AU" w:eastAsia="en-AU"/>
        </w:rPr>
        <w:t>t</w:t>
      </w:r>
      <w:r>
        <w:rPr>
          <w:szCs w:val="22"/>
          <w:lang w:val="en-AU" w:eastAsia="en-AU"/>
        </w:rPr>
        <w:t xml:space="preserve">his work </w:t>
      </w:r>
      <w:r w:rsidR="00F048DA">
        <w:rPr>
          <w:szCs w:val="22"/>
          <w:lang w:val="en-AU" w:eastAsia="en-AU"/>
        </w:rPr>
        <w:t>includes</w:t>
      </w:r>
      <w:r>
        <w:rPr>
          <w:szCs w:val="22"/>
          <w:lang w:val="en-AU" w:eastAsia="en-AU"/>
        </w:rPr>
        <w:t xml:space="preserve"> </w:t>
      </w:r>
      <w:r w:rsidR="00F5194E" w:rsidRPr="004D5E67">
        <w:rPr>
          <w:szCs w:val="22"/>
          <w:lang w:val="en-AU" w:eastAsia="en-AU"/>
        </w:rPr>
        <w:t>analytical surveys on packaging chemicals</w:t>
      </w:r>
      <w:r w:rsidR="00F5194E" w:rsidRPr="004D5E67">
        <w:rPr>
          <w:rStyle w:val="FootnoteReference"/>
          <w:szCs w:val="22"/>
          <w:lang w:val="en-AU" w:eastAsia="en-AU"/>
        </w:rPr>
        <w:footnoteReference w:id="5"/>
      </w:r>
      <w:r w:rsidR="00F5194E" w:rsidRPr="004D5E67">
        <w:rPr>
          <w:szCs w:val="22"/>
          <w:lang w:val="en-AU" w:eastAsia="en-AU"/>
        </w:rPr>
        <w:t xml:space="preserve"> </w:t>
      </w:r>
      <w:r w:rsidR="00EA772F" w:rsidRPr="004D5E67">
        <w:t xml:space="preserve">which </w:t>
      </w:r>
      <w:r>
        <w:t>have shown</w:t>
      </w:r>
      <w:r w:rsidR="00EA772F" w:rsidRPr="004D5E67">
        <w:t xml:space="preserve"> low levels of </w:t>
      </w:r>
      <w:r w:rsidR="00DF339B">
        <w:t xml:space="preserve">migration of </w:t>
      </w:r>
      <w:r w:rsidR="00416B34">
        <w:t>most</w:t>
      </w:r>
      <w:r w:rsidR="00416B34" w:rsidRPr="004D5E67">
        <w:t xml:space="preserve"> </w:t>
      </w:r>
      <w:r w:rsidR="00EA772F" w:rsidRPr="004D5E67">
        <w:t>packaging chemicals in Australian and New Zealand foods</w:t>
      </w:r>
      <w:r w:rsidR="00E76ACC">
        <w:t xml:space="preserve">. </w:t>
      </w:r>
      <w:r w:rsidR="00EA772F" w:rsidRPr="004D5E67">
        <w:t xml:space="preserve">Most chemicals tested for were not detected at all but there is evidence that </w:t>
      </w:r>
      <w:r w:rsidR="000306C5">
        <w:t>two</w:t>
      </w:r>
      <w:r w:rsidR="000306C5" w:rsidRPr="004D5E67">
        <w:t xml:space="preserve"> </w:t>
      </w:r>
      <w:r w:rsidR="00EA772F" w:rsidRPr="004D5E67">
        <w:t>packaging chemicals</w:t>
      </w:r>
      <w:r w:rsidR="00EB55FF">
        <w:t xml:space="preserve"> (certain phthalates) </w:t>
      </w:r>
      <w:r w:rsidR="00EA772F" w:rsidRPr="004D5E67">
        <w:t>may be present in food at levels above EU compliance limits</w:t>
      </w:r>
      <w:r w:rsidR="00E76ACC">
        <w:t xml:space="preserve">. </w:t>
      </w:r>
      <w:r w:rsidR="00637CD1">
        <w:t xml:space="preserve">FSANZ is </w:t>
      </w:r>
      <w:r w:rsidR="00F871DC">
        <w:t>conducting a study</w:t>
      </w:r>
      <w:r w:rsidR="00EB55FF">
        <w:t xml:space="preserve"> to </w:t>
      </w:r>
      <w:r w:rsidR="00EB55FF" w:rsidRPr="006E2984">
        <w:t xml:space="preserve">determine if dietary exposure to these </w:t>
      </w:r>
      <w:r w:rsidR="00F871DC">
        <w:t>phthalates</w:t>
      </w:r>
      <w:r w:rsidR="00F871DC" w:rsidRPr="006E2984">
        <w:t xml:space="preserve"> </w:t>
      </w:r>
      <w:r w:rsidR="00EB55FF" w:rsidRPr="006E2984">
        <w:t>poses a health risk</w:t>
      </w:r>
      <w:r w:rsidR="00E76ACC">
        <w:t xml:space="preserve">. </w:t>
      </w:r>
      <w:r w:rsidR="00F871DC">
        <w:t>For</w:t>
      </w:r>
      <w:r w:rsidR="00EA772F" w:rsidRPr="004D5E67">
        <w:t xml:space="preserve"> </w:t>
      </w:r>
      <w:r w:rsidR="00F871DC">
        <w:t xml:space="preserve">some other </w:t>
      </w:r>
      <w:r w:rsidR="00EA772F" w:rsidRPr="004D5E67">
        <w:t>chemicals detected</w:t>
      </w:r>
      <w:r w:rsidR="00F871DC">
        <w:t xml:space="preserve"> </w:t>
      </w:r>
      <w:r w:rsidR="00416B34">
        <w:t>FSANZ is not aware of</w:t>
      </w:r>
      <w:r w:rsidR="00EA772F" w:rsidRPr="004D5E67">
        <w:t xml:space="preserve"> any regulations (in the US</w:t>
      </w:r>
      <w:r w:rsidR="00E76ACC">
        <w:t>A</w:t>
      </w:r>
      <w:r w:rsidR="00EA772F" w:rsidRPr="004D5E67">
        <w:t>, EU or elsewhere) as health-based guidance values (HBGV) have not been set</w:t>
      </w:r>
      <w:r w:rsidR="00E76ACC">
        <w:t xml:space="preserve">. </w:t>
      </w:r>
      <w:r w:rsidR="00EB55FF">
        <w:t xml:space="preserve">However, </w:t>
      </w:r>
      <w:r w:rsidR="00EB55FF" w:rsidRPr="00EB55FF">
        <w:t>based on the low levels of detection, the risk was assessed to be negligible.</w:t>
      </w:r>
    </w:p>
    <w:p w14:paraId="2DAAFA2A" w14:textId="77777777" w:rsidR="00D455D6" w:rsidRPr="00D455D6" w:rsidRDefault="00D455D6" w:rsidP="00D455D6">
      <w:pPr>
        <w:rPr>
          <w:lang w:bidi="ar-SA"/>
        </w:rPr>
      </w:pPr>
    </w:p>
    <w:p w14:paraId="6596C6ED" w14:textId="378FBCE3" w:rsidR="00EA772F" w:rsidRPr="004D5E67" w:rsidRDefault="00BD1A68" w:rsidP="00A93910">
      <w:pPr>
        <w:widowControl/>
      </w:pPr>
      <w:r w:rsidRPr="004D5E67">
        <w:t xml:space="preserve">Currently, the safety of the food supply with respect to the risk from CMPF depends on industry in Australia and New Zealand being aware of, and </w:t>
      </w:r>
      <w:r>
        <w:t xml:space="preserve">voluntarily </w:t>
      </w:r>
      <w:r w:rsidRPr="004D5E67">
        <w:t xml:space="preserve">complying with, US and/or EU regulations and/or other packaging </w:t>
      </w:r>
      <w:r>
        <w:t>c</w:t>
      </w:r>
      <w:r w:rsidRPr="004D5E67">
        <w:t xml:space="preserve">odes of </w:t>
      </w:r>
      <w:r>
        <w:t>p</w:t>
      </w:r>
      <w:r w:rsidRPr="004D5E67">
        <w:t>ractice</w:t>
      </w:r>
      <w:r w:rsidR="00466EA8">
        <w:t xml:space="preserve"> (CoP)</w:t>
      </w:r>
      <w:r w:rsidRPr="004D5E67">
        <w:t>, guidelines or self-imposed safety requirements consistent with Food Act requirements</w:t>
      </w:r>
      <w:r>
        <w:t xml:space="preserve">. </w:t>
      </w:r>
      <w:r w:rsidR="00416B34">
        <w:t xml:space="preserve">Some businesses may also rely on </w:t>
      </w:r>
      <w:r w:rsidR="00466EA8">
        <w:t xml:space="preserve">the </w:t>
      </w:r>
      <w:r w:rsidR="00416B34">
        <w:t>compliance</w:t>
      </w:r>
      <w:r w:rsidR="00466EA8">
        <w:t xml:space="preserve"> </w:t>
      </w:r>
      <w:r w:rsidR="00416B34">
        <w:t xml:space="preserve">of upstream packaging and food manufacturers. </w:t>
      </w:r>
      <w:r w:rsidR="000306C5">
        <w:t xml:space="preserve">In consultation with FSANZ, stakeholders have </w:t>
      </w:r>
      <w:r w:rsidR="00EA772F" w:rsidRPr="004D5E67">
        <w:t>shown support for further development of non-regulatory and</w:t>
      </w:r>
      <w:r w:rsidR="00A93910" w:rsidRPr="004D5E67">
        <w:t>/or</w:t>
      </w:r>
      <w:r w:rsidR="00EA772F" w:rsidRPr="004D5E67">
        <w:t xml:space="preserve"> regulatory measures for managing food safety risks associated with </w:t>
      </w:r>
      <w:r w:rsidR="00DF339B">
        <w:t xml:space="preserve">CMPF from </w:t>
      </w:r>
      <w:r w:rsidR="00EA772F" w:rsidRPr="004D5E67">
        <w:t xml:space="preserve">food packaging. </w:t>
      </w:r>
      <w:r w:rsidR="00D2730B">
        <w:t xml:space="preserve">Such </w:t>
      </w:r>
      <w:r w:rsidR="00EA772F" w:rsidRPr="004D5E67">
        <w:t>measures could provide certainty for industry on how to manage the potential public health risks arising from CMPF</w:t>
      </w:r>
      <w:r w:rsidR="00DF339B">
        <w:t xml:space="preserve"> and </w:t>
      </w:r>
      <w:r w:rsidR="00EE0BEA">
        <w:t>consumer confidence</w:t>
      </w:r>
      <w:r w:rsidR="00DF339B">
        <w:t xml:space="preserve"> that adequate protection is in place in Australia and New Zealand</w:t>
      </w:r>
      <w:r w:rsidR="002B3E91">
        <w:t xml:space="preserve">. </w:t>
      </w:r>
    </w:p>
    <w:p w14:paraId="424182DE" w14:textId="77777777" w:rsidR="00A93910" w:rsidRPr="004D5E67" w:rsidRDefault="00A93910" w:rsidP="00F5194E">
      <w:pPr>
        <w:widowControl/>
        <w:rPr>
          <w:rFonts w:cs="Arial"/>
          <w:szCs w:val="22"/>
          <w:lang w:val="en-AU" w:eastAsia="en-AU" w:bidi="ar-SA"/>
        </w:rPr>
      </w:pPr>
    </w:p>
    <w:p w14:paraId="28529B03" w14:textId="6A8B556F" w:rsidR="004D5E67" w:rsidRDefault="004D5E67" w:rsidP="00462A77">
      <w:pPr>
        <w:tabs>
          <w:tab w:val="left" w:pos="1333"/>
        </w:tabs>
        <w:ind w:right="-286"/>
      </w:pPr>
      <w:bookmarkStart w:id="14" w:name="_Toc300761892"/>
      <w:bookmarkStart w:id="15" w:name="_Toc300933421"/>
      <w:r w:rsidRPr="004D5E67">
        <w:t>A holistic approach has been taken to develop a picture of the residual ris</w:t>
      </w:r>
      <w:r w:rsidR="000D37A1">
        <w:t xml:space="preserve">k </w:t>
      </w:r>
      <w:r w:rsidRPr="004D5E67">
        <w:t>f</w:t>
      </w:r>
      <w:r>
        <w:t xml:space="preserve">rom CMPF. </w:t>
      </w:r>
      <w:r w:rsidR="00F3142E">
        <w:t xml:space="preserve">Three </w:t>
      </w:r>
      <w:r>
        <w:t xml:space="preserve">main </w:t>
      </w:r>
      <w:r w:rsidR="006E3F36">
        <w:t>streams of work were undertaken:</w:t>
      </w:r>
      <w:r>
        <w:t xml:space="preserve"> a risk profile of chemicals used in the production of food packaging</w:t>
      </w:r>
      <w:r w:rsidR="006E3F36">
        <w:t>;</w:t>
      </w:r>
      <w:r w:rsidR="00F3142E">
        <w:t xml:space="preserve"> </w:t>
      </w:r>
      <w:r w:rsidR="00D2730B">
        <w:t>a</w:t>
      </w:r>
      <w:r>
        <w:t>nalysis of co</w:t>
      </w:r>
      <w:r w:rsidR="007B7A89">
        <w:t xml:space="preserve">ntrol measures used by industry </w:t>
      </w:r>
      <w:r w:rsidR="00F3142E">
        <w:t xml:space="preserve">and consideration of </w:t>
      </w:r>
      <w:r>
        <w:t>risk management options, including regulatory and non-regulatory approaches.</w:t>
      </w:r>
    </w:p>
    <w:p w14:paraId="43B8806E" w14:textId="1D6979CB" w:rsidR="0053464E" w:rsidRDefault="00F33BB8" w:rsidP="00A56E34">
      <w:pPr>
        <w:pStyle w:val="Heading2"/>
      </w:pPr>
      <w:bookmarkStart w:id="16" w:name="_Toc452645321"/>
      <w:r w:rsidRPr="00556352">
        <w:t>1</w:t>
      </w:r>
      <w:r w:rsidR="00A56E34" w:rsidRPr="00556352">
        <w:t>.</w:t>
      </w:r>
      <w:r w:rsidR="005F1BE1" w:rsidRPr="00556352">
        <w:t>2</w:t>
      </w:r>
      <w:r w:rsidR="00A56E34" w:rsidRPr="00556352">
        <w:tab/>
        <w:t>The c</w:t>
      </w:r>
      <w:r w:rsidR="0053464E" w:rsidRPr="00556352">
        <w:t xml:space="preserve">urrent </w:t>
      </w:r>
      <w:bookmarkEnd w:id="14"/>
      <w:bookmarkEnd w:id="15"/>
      <w:r w:rsidR="002B3C8A">
        <w:t>regulatory framework</w:t>
      </w:r>
      <w:bookmarkEnd w:id="16"/>
    </w:p>
    <w:p w14:paraId="2348A970" w14:textId="204E0ECF" w:rsidR="002B3C8A" w:rsidRDefault="00F3254A" w:rsidP="00462A77">
      <w:pPr>
        <w:ind w:right="-144"/>
        <w:rPr>
          <w:rFonts w:eastAsia="Calibri"/>
          <w:lang w:bidi="ar-SA"/>
        </w:rPr>
      </w:pPr>
      <w:r w:rsidRPr="007F6373">
        <w:rPr>
          <w:rFonts w:eastAsia="Calibri"/>
          <w:lang w:bidi="ar-SA"/>
        </w:rPr>
        <w:t xml:space="preserve">Legislative requirements in Australia and New Zealand, including state and territory Food Acts, </w:t>
      </w:r>
      <w:r w:rsidR="007A21C4">
        <w:rPr>
          <w:rFonts w:eastAsia="Calibri"/>
          <w:lang w:bidi="ar-SA"/>
        </w:rPr>
        <w:t>require</w:t>
      </w:r>
      <w:r w:rsidRPr="007F6373">
        <w:rPr>
          <w:rFonts w:eastAsia="Calibri"/>
          <w:lang w:bidi="ar-SA"/>
        </w:rPr>
        <w:t xml:space="preserve"> food </w:t>
      </w:r>
      <w:r w:rsidR="007A21C4">
        <w:rPr>
          <w:rFonts w:eastAsia="Calibri"/>
          <w:lang w:bidi="ar-SA"/>
        </w:rPr>
        <w:t xml:space="preserve">to be </w:t>
      </w:r>
      <w:r w:rsidRPr="007F6373">
        <w:rPr>
          <w:rFonts w:eastAsia="Calibri"/>
          <w:lang w:bidi="ar-SA"/>
        </w:rPr>
        <w:t>safe and suitable.</w:t>
      </w:r>
      <w:r w:rsidRPr="007F6373">
        <w:rPr>
          <w:sz w:val="20"/>
        </w:rPr>
        <w:t xml:space="preserve"> </w:t>
      </w:r>
      <w:r>
        <w:rPr>
          <w:rFonts w:eastAsia="Calibri"/>
          <w:lang w:bidi="ar-SA"/>
        </w:rPr>
        <w:t>S</w:t>
      </w:r>
      <w:r w:rsidRPr="007F6373">
        <w:rPr>
          <w:rFonts w:eastAsia="Calibri"/>
          <w:lang w:bidi="ar-SA"/>
        </w:rPr>
        <w:t xml:space="preserve">tate and territory Food Acts and the </w:t>
      </w:r>
      <w:r w:rsidRPr="00CA328E">
        <w:rPr>
          <w:rFonts w:eastAsia="Calibri"/>
          <w:lang w:bidi="ar-SA"/>
        </w:rPr>
        <w:t xml:space="preserve">New Zealand </w:t>
      </w:r>
      <w:r w:rsidRPr="00E214C1">
        <w:rPr>
          <w:rFonts w:eastAsia="Calibri"/>
          <w:i/>
          <w:lang w:bidi="ar-SA"/>
        </w:rPr>
        <w:t xml:space="preserve">Food Act </w:t>
      </w:r>
      <w:r w:rsidR="004D5E67" w:rsidRPr="00E214C1">
        <w:rPr>
          <w:rFonts w:eastAsia="Calibri"/>
          <w:i/>
          <w:lang w:bidi="ar-SA"/>
        </w:rPr>
        <w:t>2014</w:t>
      </w:r>
      <w:r w:rsidR="004D5E67">
        <w:rPr>
          <w:rFonts w:eastAsia="Calibri"/>
          <w:lang w:bidi="ar-SA"/>
        </w:rPr>
        <w:t xml:space="preserve"> </w:t>
      </w:r>
      <w:r w:rsidRPr="007F6373">
        <w:rPr>
          <w:rFonts w:eastAsia="Calibri"/>
          <w:lang w:bidi="ar-SA"/>
        </w:rPr>
        <w:t xml:space="preserve">contain general provisions for packaging that make it an offence to sell food packaging or handling materials that are unsafe or will make food unsafe, and food businesses must comply with requirements in the </w:t>
      </w:r>
      <w:r>
        <w:rPr>
          <w:rFonts w:eastAsia="Calibri"/>
          <w:lang w:bidi="ar-SA"/>
        </w:rPr>
        <w:t>Code</w:t>
      </w:r>
      <w:r w:rsidR="00B6533F">
        <w:rPr>
          <w:rFonts w:eastAsia="Calibri"/>
          <w:lang w:bidi="ar-SA"/>
        </w:rPr>
        <w:t xml:space="preserve"> (</w:t>
      </w:r>
      <w:r w:rsidR="0008370D">
        <w:rPr>
          <w:rFonts w:eastAsia="Calibri"/>
          <w:lang w:bidi="ar-SA"/>
        </w:rPr>
        <w:t>r</w:t>
      </w:r>
      <w:r w:rsidR="00B6533F">
        <w:rPr>
          <w:rFonts w:eastAsia="Calibri"/>
          <w:lang w:bidi="ar-SA"/>
        </w:rPr>
        <w:t xml:space="preserve">efer to Supporting Document </w:t>
      </w:r>
      <w:r w:rsidR="0008370D">
        <w:rPr>
          <w:rFonts w:eastAsia="Calibri"/>
          <w:lang w:bidi="ar-SA"/>
        </w:rPr>
        <w:t xml:space="preserve">(SD) </w:t>
      </w:r>
      <w:r w:rsidR="00B6533F">
        <w:rPr>
          <w:rFonts w:eastAsia="Calibri"/>
          <w:lang w:bidi="ar-SA"/>
        </w:rPr>
        <w:t>1)</w:t>
      </w:r>
      <w:r>
        <w:rPr>
          <w:rFonts w:eastAsia="Calibri"/>
          <w:lang w:bidi="ar-SA"/>
        </w:rPr>
        <w:t>.</w:t>
      </w:r>
    </w:p>
    <w:p w14:paraId="7B493925" w14:textId="31F5D721" w:rsidR="00BD1A68" w:rsidRDefault="00BD1A68" w:rsidP="002B3C8A">
      <w:pPr>
        <w:rPr>
          <w:lang w:bidi="ar-SA"/>
        </w:rPr>
      </w:pPr>
    </w:p>
    <w:p w14:paraId="73738658" w14:textId="6592EEE1" w:rsidR="00462A77" w:rsidRDefault="00BD1A68" w:rsidP="002B3C8A">
      <w:r>
        <w:t>This means that a</w:t>
      </w:r>
      <w:r w:rsidRPr="000E2140">
        <w:t>t present, food safety risks from CMPF are managed primarily through Food Act requirements binding on those who sell food packaging and food business</w:t>
      </w:r>
      <w:r>
        <w:t>es</w:t>
      </w:r>
      <w:r w:rsidRPr="000E2140">
        <w:t xml:space="preserve"> that package food for sale. To ensure that they meet requirements, food packaging manufacturers in Australia and New Zealand voluntarily apply standards imposed under overseas laws (and which do not apply in Australia or New Zealand) and/or under packaging codes of practice or guidelines</w:t>
      </w:r>
      <w:r>
        <w:t>.</w:t>
      </w:r>
      <w:r w:rsidR="00462A77">
        <w:br w:type="page"/>
      </w:r>
    </w:p>
    <w:p w14:paraId="5D7EC7A5" w14:textId="48D54509" w:rsidR="002B3C8A" w:rsidRPr="00477326" w:rsidRDefault="002B3C8A" w:rsidP="00477326">
      <w:pPr>
        <w:pStyle w:val="Heading3"/>
      </w:pPr>
      <w:bookmarkStart w:id="17" w:name="_Toc452645322"/>
      <w:r w:rsidRPr="00477326">
        <w:lastRenderedPageBreak/>
        <w:t>1.2.1</w:t>
      </w:r>
      <w:r w:rsidRPr="00477326">
        <w:tab/>
        <w:t>The Code provisions</w:t>
      </w:r>
      <w:bookmarkEnd w:id="17"/>
    </w:p>
    <w:p w14:paraId="3467582F" w14:textId="4A6A2E51" w:rsidR="0093132C" w:rsidRDefault="000F4D20" w:rsidP="0093132C">
      <w:pPr>
        <w:autoSpaceDE w:val="0"/>
        <w:autoSpaceDN w:val="0"/>
        <w:adjustRightInd w:val="0"/>
      </w:pPr>
      <w:bookmarkStart w:id="18" w:name="_Toc286391007"/>
      <w:bookmarkStart w:id="19" w:name="_Toc300933423"/>
      <w:bookmarkStart w:id="20" w:name="_Toc175381432"/>
      <w:r w:rsidRPr="0078541C">
        <w:rPr>
          <w:lang w:val="en-AU" w:eastAsia="en-AU" w:bidi="ar-SA"/>
        </w:rPr>
        <w:t xml:space="preserve">Relevant requirements in the Code pertinent to </w:t>
      </w:r>
      <w:r w:rsidR="003C4650">
        <w:rPr>
          <w:lang w:val="en-AU" w:eastAsia="en-AU" w:bidi="ar-SA"/>
        </w:rPr>
        <w:t xml:space="preserve">both </w:t>
      </w:r>
      <w:r w:rsidRPr="0078541C">
        <w:rPr>
          <w:lang w:val="en-AU" w:eastAsia="en-AU" w:bidi="ar-SA"/>
        </w:rPr>
        <w:t xml:space="preserve">Australia and New Zealand include </w:t>
      </w:r>
      <w:r w:rsidR="003135CE">
        <w:rPr>
          <w:lang w:val="en-AU" w:eastAsia="en-AU" w:bidi="ar-SA"/>
        </w:rPr>
        <w:t xml:space="preserve">general </w:t>
      </w:r>
      <w:r w:rsidR="003135CE" w:rsidRPr="003135CE">
        <w:rPr>
          <w:lang w:val="en-AU" w:eastAsia="en-AU" w:bidi="ar-SA"/>
        </w:rPr>
        <w:t>packaging requirements</w:t>
      </w:r>
      <w:r w:rsidR="003135CE">
        <w:rPr>
          <w:lang w:val="en-AU" w:eastAsia="en-AU" w:bidi="ar-SA"/>
        </w:rPr>
        <w:t xml:space="preserve"> in Standard </w:t>
      </w:r>
      <w:r w:rsidR="008A792F">
        <w:rPr>
          <w:lang w:val="en-AU" w:eastAsia="en-AU" w:bidi="ar-SA"/>
        </w:rPr>
        <w:t>1.1.1</w:t>
      </w:r>
      <w:r w:rsidR="00CA328E">
        <w:rPr>
          <w:lang w:val="en-AU" w:eastAsia="en-AU" w:bidi="ar-SA"/>
        </w:rPr>
        <w:t xml:space="preserve"> </w:t>
      </w:r>
      <w:r w:rsidR="00E76ACC">
        <w:rPr>
          <w:lang w:val="en-AU" w:eastAsia="en-AU" w:bidi="ar-SA"/>
        </w:rPr>
        <w:t>(subsections</w:t>
      </w:r>
      <w:r w:rsidRPr="0078541C">
        <w:rPr>
          <w:lang w:val="en-AU" w:eastAsia="en-AU" w:bidi="ar-SA"/>
        </w:rPr>
        <w:t>1.</w:t>
      </w:r>
      <w:r>
        <w:rPr>
          <w:lang w:val="en-AU" w:eastAsia="en-AU" w:bidi="ar-SA"/>
        </w:rPr>
        <w:t>1</w:t>
      </w:r>
      <w:r w:rsidRPr="0078541C">
        <w:rPr>
          <w:lang w:val="en-AU" w:eastAsia="en-AU" w:bidi="ar-SA"/>
        </w:rPr>
        <w:t>.</w:t>
      </w:r>
      <w:r>
        <w:rPr>
          <w:lang w:val="en-AU" w:eastAsia="en-AU" w:bidi="ar-SA"/>
        </w:rPr>
        <w:t>1</w:t>
      </w:r>
      <w:r w:rsidR="00E76ACC">
        <w:rPr>
          <w:rFonts w:cs="Arial"/>
          <w:lang w:val="en-AU" w:eastAsia="en-AU" w:bidi="ar-SA"/>
        </w:rPr>
        <w:t>—</w:t>
      </w:r>
      <w:r w:rsidR="003135CE">
        <w:rPr>
          <w:lang w:val="en-AU" w:eastAsia="en-AU" w:bidi="ar-SA"/>
        </w:rPr>
        <w:t>10(10</w:t>
      </w:r>
      <w:r w:rsidR="00E76ACC">
        <w:rPr>
          <w:lang w:val="en-AU" w:eastAsia="en-AU" w:bidi="ar-SA"/>
        </w:rPr>
        <w:t>)</w:t>
      </w:r>
      <w:r w:rsidR="003135CE">
        <w:rPr>
          <w:lang w:val="en-AU" w:eastAsia="en-AU" w:bidi="ar-SA"/>
        </w:rPr>
        <w:t xml:space="preserve"> </w:t>
      </w:r>
      <w:r w:rsidR="0093132C">
        <w:rPr>
          <w:lang w:val="en-AU" w:eastAsia="en-AU" w:bidi="ar-SA"/>
        </w:rPr>
        <w:t>and</w:t>
      </w:r>
      <w:r w:rsidR="003135CE">
        <w:rPr>
          <w:lang w:val="en-AU" w:eastAsia="en-AU" w:bidi="ar-SA"/>
        </w:rPr>
        <w:t xml:space="preserve"> </w:t>
      </w:r>
      <w:r w:rsidR="00E76ACC">
        <w:rPr>
          <w:lang w:val="en-AU" w:eastAsia="en-AU" w:bidi="ar-SA"/>
        </w:rPr>
        <w:t>(</w:t>
      </w:r>
      <w:r w:rsidR="003135CE">
        <w:rPr>
          <w:lang w:val="en-AU" w:eastAsia="en-AU" w:bidi="ar-SA"/>
        </w:rPr>
        <w:t>11</w:t>
      </w:r>
      <w:proofErr w:type="gramStart"/>
      <w:r w:rsidR="003135CE">
        <w:rPr>
          <w:lang w:val="en-AU" w:eastAsia="en-AU" w:bidi="ar-SA"/>
        </w:rPr>
        <w:t>)</w:t>
      </w:r>
      <w:proofErr w:type="gramEnd"/>
      <w:r w:rsidR="00E76ACC" w:rsidDel="00E76ACC">
        <w:rPr>
          <w:rStyle w:val="FootnoteReference"/>
          <w:lang w:val="en-AU" w:eastAsia="en-AU" w:bidi="ar-SA"/>
        </w:rPr>
        <w:t xml:space="preserve"> </w:t>
      </w:r>
      <w:r w:rsidR="000B0691">
        <w:rPr>
          <w:lang w:val="en-AU" w:eastAsia="en-AU" w:bidi="ar-SA"/>
        </w:rPr>
        <w:t>(</w:t>
      </w:r>
      <w:r w:rsidR="000B0691" w:rsidRPr="000B0691">
        <w:rPr>
          <w:i/>
          <w:lang w:val="en-AU" w:eastAsia="en-AU" w:bidi="ar-SA"/>
        </w:rPr>
        <w:t>Packaging requirements</w:t>
      </w:r>
      <w:r w:rsidR="000B0691">
        <w:rPr>
          <w:lang w:val="en-AU" w:eastAsia="en-AU" w:bidi="ar-SA"/>
        </w:rPr>
        <w:t xml:space="preserve">) </w:t>
      </w:r>
      <w:r w:rsidR="003135CE">
        <w:rPr>
          <w:lang w:val="en-AU" w:eastAsia="en-AU" w:bidi="ar-SA"/>
        </w:rPr>
        <w:t>and</w:t>
      </w:r>
      <w:r w:rsidR="00405A7A">
        <w:rPr>
          <w:lang w:val="en-AU" w:eastAsia="en-AU" w:bidi="ar-SA"/>
        </w:rPr>
        <w:t xml:space="preserve"> </w:t>
      </w:r>
      <w:r w:rsidR="00405A7A" w:rsidRPr="00FF1817">
        <w:t>maximum</w:t>
      </w:r>
      <w:r w:rsidR="0093132C" w:rsidRPr="00FF1817">
        <w:t xml:space="preserve"> levels </w:t>
      </w:r>
      <w:r w:rsidR="0008370D">
        <w:t xml:space="preserve">(MLs) for three packaging </w:t>
      </w:r>
      <w:r w:rsidR="0093132C" w:rsidRPr="00FF1817">
        <w:t>contaminants</w:t>
      </w:r>
      <w:r w:rsidR="0093132C">
        <w:t>,</w:t>
      </w:r>
      <w:r w:rsidR="0093132C" w:rsidRPr="00FF1817">
        <w:t xml:space="preserve"> </w:t>
      </w:r>
      <w:r w:rsidR="0093132C">
        <w:t xml:space="preserve">regulated by </w:t>
      </w:r>
      <w:r w:rsidR="0093132C" w:rsidRPr="00FF1817">
        <w:t>subsection 1.1.1—10(5) and Standard 1.4.1</w:t>
      </w:r>
      <w:r w:rsidR="0008370D">
        <w:t xml:space="preserve"> – Contaminants and </w:t>
      </w:r>
      <w:r w:rsidR="00007BEA">
        <w:t>natural toxicants</w:t>
      </w:r>
      <w:r w:rsidR="0093132C" w:rsidRPr="00FF1817">
        <w:t>.</w:t>
      </w:r>
      <w:r w:rsidR="0093132C">
        <w:t xml:space="preserve"> Details of maximum levels for specific foods are provided in</w:t>
      </w:r>
      <w:r w:rsidR="000C0731">
        <w:t xml:space="preserve"> Schedule 19</w:t>
      </w:r>
      <w:r w:rsidR="0093132C">
        <w:t xml:space="preserve"> </w:t>
      </w:r>
      <w:r w:rsidR="000C0731">
        <w:t>(</w:t>
      </w:r>
      <w:r w:rsidR="0093132C">
        <w:t>section</w:t>
      </w:r>
      <w:r w:rsidR="000C0731">
        <w:t>s</w:t>
      </w:r>
      <w:r w:rsidR="0093132C">
        <w:t xml:space="preserve"> S19</w:t>
      </w:r>
      <w:r w:rsidR="0093132C" w:rsidRPr="00FF1817">
        <w:t>—</w:t>
      </w:r>
      <w:r w:rsidR="0093132C">
        <w:t>4 (metal contaminants) and S19</w:t>
      </w:r>
      <w:r w:rsidR="0093132C" w:rsidRPr="00FF1817">
        <w:t>—</w:t>
      </w:r>
      <w:r w:rsidR="0093132C">
        <w:t>5 (non-metal contaminants)</w:t>
      </w:r>
      <w:r w:rsidR="0093132C">
        <w:rPr>
          <w:rStyle w:val="FootnoteReference"/>
          <w:lang w:val="en-AU" w:eastAsia="en-AU" w:bidi="ar-SA"/>
        </w:rPr>
        <w:footnoteReference w:id="6"/>
      </w:r>
      <w:r w:rsidR="0093132C">
        <w:t>.</w:t>
      </w:r>
      <w:r w:rsidR="00FF45BA" w:rsidRPr="00FF45BA">
        <w:rPr>
          <w:lang w:val="en-AU" w:eastAsia="en-AU" w:bidi="ar-SA"/>
        </w:rPr>
        <w:t xml:space="preserve"> </w:t>
      </w:r>
      <w:r w:rsidR="00FF45BA" w:rsidRPr="0074784D">
        <w:rPr>
          <w:lang w:val="en-AU" w:eastAsia="en-AU" w:bidi="ar-SA"/>
        </w:rPr>
        <w:t xml:space="preserve">Standard 2.6.2 </w:t>
      </w:r>
      <w:r w:rsidR="000C0731">
        <w:rPr>
          <w:lang w:val="en-AU" w:eastAsia="en-AU" w:bidi="ar-SA"/>
        </w:rPr>
        <w:t>–</w:t>
      </w:r>
      <w:r w:rsidR="00FF45BA" w:rsidRPr="0074784D">
        <w:rPr>
          <w:lang w:val="en-AU" w:eastAsia="en-AU" w:bidi="ar-SA"/>
        </w:rPr>
        <w:t xml:space="preserve"> Non-alcoholic beverages and brewed soft drinks</w:t>
      </w:r>
      <w:r w:rsidR="00FF45BA">
        <w:rPr>
          <w:lang w:val="en-AU" w:eastAsia="en-AU" w:bidi="ar-SA"/>
        </w:rPr>
        <w:t xml:space="preserve"> has requirements </w:t>
      </w:r>
      <w:r w:rsidR="00FF45BA" w:rsidRPr="00E15506">
        <w:rPr>
          <w:lang w:val="en-AU" w:eastAsia="en-AU" w:bidi="ar-SA"/>
        </w:rPr>
        <w:t xml:space="preserve">for chemical </w:t>
      </w:r>
      <w:r w:rsidR="00FF45BA">
        <w:rPr>
          <w:lang w:val="en-AU" w:eastAsia="en-AU" w:bidi="ar-SA"/>
        </w:rPr>
        <w:t>l</w:t>
      </w:r>
      <w:r w:rsidR="00FF45BA" w:rsidRPr="00E15506">
        <w:rPr>
          <w:lang w:val="en-AU" w:eastAsia="en-AU" w:bidi="ar-SA"/>
        </w:rPr>
        <w:t>imits</w:t>
      </w:r>
      <w:r w:rsidR="00FF45BA">
        <w:rPr>
          <w:lang w:val="en-AU" w:eastAsia="en-AU" w:bidi="ar-SA"/>
        </w:rPr>
        <w:t xml:space="preserve"> </w:t>
      </w:r>
      <w:r w:rsidR="00FF45BA" w:rsidRPr="00E15506">
        <w:rPr>
          <w:lang w:val="en-AU" w:eastAsia="en-AU" w:bidi="ar-SA"/>
        </w:rPr>
        <w:t>in packaged water</w:t>
      </w:r>
      <w:r w:rsidR="00FF45BA">
        <w:rPr>
          <w:lang w:val="en-AU" w:eastAsia="en-AU" w:bidi="ar-SA"/>
        </w:rPr>
        <w:t xml:space="preserve"> which align with World Health Organization drinking water guidelines (WHO, 2011).</w:t>
      </w:r>
    </w:p>
    <w:p w14:paraId="17B73944" w14:textId="77777777" w:rsidR="000F4D20" w:rsidRDefault="000F4D20" w:rsidP="000F4D20">
      <w:pPr>
        <w:rPr>
          <w:lang w:val="en-AU" w:eastAsia="en-AU" w:bidi="ar-SA"/>
        </w:rPr>
      </w:pPr>
    </w:p>
    <w:p w14:paraId="6B1C9C79" w14:textId="661F5DFF" w:rsidR="000F4D20" w:rsidRPr="00D01E59" w:rsidRDefault="000F4D20" w:rsidP="0074784D">
      <w:pPr>
        <w:rPr>
          <w:lang w:val="en-AU" w:eastAsia="en-AU" w:bidi="ar-SA"/>
        </w:rPr>
      </w:pPr>
      <w:r>
        <w:rPr>
          <w:lang w:val="en-AU" w:eastAsia="en-AU" w:bidi="ar-SA"/>
        </w:rPr>
        <w:t xml:space="preserve">For Australia, </w:t>
      </w:r>
      <w:r w:rsidR="000B0691">
        <w:rPr>
          <w:lang w:val="en-AU" w:eastAsia="en-AU" w:bidi="ar-SA"/>
        </w:rPr>
        <w:t>Standard 3.2.2</w:t>
      </w:r>
      <w:r w:rsidR="002C5367">
        <w:rPr>
          <w:lang w:val="en-AU" w:eastAsia="en-AU" w:bidi="ar-SA"/>
        </w:rPr>
        <w:t xml:space="preserve"> </w:t>
      </w:r>
      <w:r w:rsidR="000C0731">
        <w:rPr>
          <w:lang w:val="en-AU" w:eastAsia="en-AU" w:bidi="ar-SA"/>
        </w:rPr>
        <w:t>–</w:t>
      </w:r>
      <w:r w:rsidR="002C5367">
        <w:rPr>
          <w:lang w:val="en-AU" w:eastAsia="en-AU" w:bidi="ar-SA"/>
        </w:rPr>
        <w:t xml:space="preserve"> </w:t>
      </w:r>
      <w:r w:rsidR="002C5367" w:rsidRPr="002C5367">
        <w:rPr>
          <w:lang w:val="en-AU" w:eastAsia="en-AU" w:bidi="ar-SA"/>
        </w:rPr>
        <w:t xml:space="preserve">Food </w:t>
      </w:r>
      <w:r w:rsidR="000C0731">
        <w:rPr>
          <w:lang w:val="en-AU" w:eastAsia="en-AU" w:bidi="ar-SA"/>
        </w:rPr>
        <w:t>S</w:t>
      </w:r>
      <w:r w:rsidR="00007BEA" w:rsidRPr="002C5367">
        <w:rPr>
          <w:lang w:val="en-AU" w:eastAsia="en-AU" w:bidi="ar-SA"/>
        </w:rPr>
        <w:t xml:space="preserve">afety </w:t>
      </w:r>
      <w:r w:rsidR="000C0731">
        <w:rPr>
          <w:lang w:val="en-AU" w:eastAsia="en-AU" w:bidi="ar-SA"/>
        </w:rPr>
        <w:t>P</w:t>
      </w:r>
      <w:r w:rsidR="00007BEA" w:rsidRPr="002C5367">
        <w:rPr>
          <w:lang w:val="en-AU" w:eastAsia="en-AU" w:bidi="ar-SA"/>
        </w:rPr>
        <w:t xml:space="preserve">ractices </w:t>
      </w:r>
      <w:r w:rsidR="002C5367" w:rsidRPr="002C5367">
        <w:rPr>
          <w:lang w:val="en-AU" w:eastAsia="en-AU" w:bidi="ar-SA"/>
        </w:rPr>
        <w:t xml:space="preserve">and </w:t>
      </w:r>
      <w:r w:rsidR="000C0731">
        <w:rPr>
          <w:lang w:val="en-AU" w:eastAsia="en-AU" w:bidi="ar-SA"/>
        </w:rPr>
        <w:t>G</w:t>
      </w:r>
      <w:r w:rsidR="00007BEA" w:rsidRPr="002C5367">
        <w:rPr>
          <w:lang w:val="en-AU" w:eastAsia="en-AU" w:bidi="ar-SA"/>
        </w:rPr>
        <w:t xml:space="preserve">eneral </w:t>
      </w:r>
      <w:r w:rsidR="000C0731">
        <w:rPr>
          <w:lang w:val="en-AU" w:eastAsia="en-AU" w:bidi="ar-SA"/>
        </w:rPr>
        <w:t>R</w:t>
      </w:r>
      <w:r w:rsidR="00007BEA" w:rsidRPr="002C5367">
        <w:rPr>
          <w:lang w:val="en-AU" w:eastAsia="en-AU" w:bidi="ar-SA"/>
        </w:rPr>
        <w:t xml:space="preserve">equirements </w:t>
      </w:r>
      <w:r w:rsidR="000B0691">
        <w:rPr>
          <w:lang w:val="en-AU" w:eastAsia="en-AU" w:bidi="ar-SA"/>
        </w:rPr>
        <w:t>and Standard 4.2.1</w:t>
      </w:r>
      <w:r w:rsidR="002C5367">
        <w:rPr>
          <w:lang w:val="en-AU" w:eastAsia="en-AU" w:bidi="ar-SA"/>
        </w:rPr>
        <w:t xml:space="preserve"> </w:t>
      </w:r>
      <w:r w:rsidR="00462A77">
        <w:rPr>
          <w:lang w:val="en-AU" w:eastAsia="en-AU" w:bidi="ar-SA"/>
        </w:rPr>
        <w:t>–</w:t>
      </w:r>
      <w:r w:rsidR="002C5367">
        <w:rPr>
          <w:lang w:val="en-AU" w:eastAsia="en-AU" w:bidi="ar-SA"/>
        </w:rPr>
        <w:t xml:space="preserve"> </w:t>
      </w:r>
      <w:r w:rsidR="002C5367" w:rsidRPr="002C5367">
        <w:rPr>
          <w:lang w:val="en-AU" w:eastAsia="en-AU" w:bidi="ar-SA"/>
        </w:rPr>
        <w:t xml:space="preserve">Primary </w:t>
      </w:r>
      <w:r w:rsidR="000C0731">
        <w:rPr>
          <w:lang w:val="en-AU" w:eastAsia="en-AU" w:bidi="ar-SA"/>
        </w:rPr>
        <w:t>P</w:t>
      </w:r>
      <w:r w:rsidR="00007BEA" w:rsidRPr="002C5367">
        <w:rPr>
          <w:lang w:val="en-AU" w:eastAsia="en-AU" w:bidi="ar-SA"/>
        </w:rPr>
        <w:t xml:space="preserve">roduction </w:t>
      </w:r>
      <w:r w:rsidR="002C5367" w:rsidRPr="002C5367">
        <w:rPr>
          <w:lang w:val="en-AU" w:eastAsia="en-AU" w:bidi="ar-SA"/>
        </w:rPr>
        <w:t xml:space="preserve">and </w:t>
      </w:r>
      <w:r w:rsidR="000C0731">
        <w:rPr>
          <w:lang w:val="en-AU" w:eastAsia="en-AU" w:bidi="ar-SA"/>
        </w:rPr>
        <w:t>P</w:t>
      </w:r>
      <w:r w:rsidR="00007BEA" w:rsidRPr="002C5367">
        <w:rPr>
          <w:lang w:val="en-AU" w:eastAsia="en-AU" w:bidi="ar-SA"/>
        </w:rPr>
        <w:t xml:space="preserve">rocessing </w:t>
      </w:r>
      <w:r w:rsidR="000C0731">
        <w:rPr>
          <w:lang w:val="en-AU" w:eastAsia="en-AU" w:bidi="ar-SA"/>
        </w:rPr>
        <w:t>S</w:t>
      </w:r>
      <w:r w:rsidR="00007BEA" w:rsidRPr="002C5367">
        <w:rPr>
          <w:lang w:val="en-AU" w:eastAsia="en-AU" w:bidi="ar-SA"/>
        </w:rPr>
        <w:t xml:space="preserve">tandard </w:t>
      </w:r>
      <w:r w:rsidR="002C5367" w:rsidRPr="002C5367">
        <w:rPr>
          <w:lang w:val="en-AU" w:eastAsia="en-AU" w:bidi="ar-SA"/>
        </w:rPr>
        <w:t xml:space="preserve">for </w:t>
      </w:r>
      <w:r w:rsidR="000C0731">
        <w:rPr>
          <w:lang w:val="en-AU" w:eastAsia="en-AU" w:bidi="ar-SA"/>
        </w:rPr>
        <w:t>S</w:t>
      </w:r>
      <w:r w:rsidR="00007BEA" w:rsidRPr="002C5367">
        <w:rPr>
          <w:lang w:val="en-AU" w:eastAsia="en-AU" w:bidi="ar-SA"/>
        </w:rPr>
        <w:t xml:space="preserve">eafood </w:t>
      </w:r>
      <w:r w:rsidR="000B0691">
        <w:rPr>
          <w:lang w:val="en-AU" w:eastAsia="en-AU" w:bidi="ar-SA"/>
        </w:rPr>
        <w:t>have requirements pertaining to food packaging</w:t>
      </w:r>
      <w:r w:rsidR="00E76ACC">
        <w:rPr>
          <w:lang w:val="en-AU" w:eastAsia="en-AU" w:bidi="ar-SA"/>
        </w:rPr>
        <w:t xml:space="preserve">. </w:t>
      </w:r>
      <w:r w:rsidR="0074784D" w:rsidRPr="0078541C">
        <w:rPr>
          <w:lang w:val="en-AU" w:eastAsia="en-AU" w:bidi="ar-SA"/>
        </w:rPr>
        <w:t xml:space="preserve">Standard 3.2.2 contains requirements for food businesses (including manufacturers, importers and retailers) </w:t>
      </w:r>
      <w:r w:rsidR="0074784D">
        <w:rPr>
          <w:lang w:val="en-AU" w:eastAsia="en-AU" w:bidi="ar-SA"/>
        </w:rPr>
        <w:t xml:space="preserve">regarding the safety of packaging. Standard 4.2.1 also contains requirements for seafood businesses regarding the safety of packaging (see SD2). </w:t>
      </w:r>
    </w:p>
    <w:p w14:paraId="5FBE13E2" w14:textId="73BD6F89" w:rsidR="00AF387F" w:rsidRPr="000B6AF2" w:rsidRDefault="00F33BB8" w:rsidP="00D062E4">
      <w:pPr>
        <w:pStyle w:val="Heading2"/>
        <w:rPr>
          <w:u w:color="FFFF00"/>
        </w:rPr>
      </w:pPr>
      <w:bookmarkStart w:id="21" w:name="_Toc452645323"/>
      <w:r>
        <w:rPr>
          <w:u w:color="FFFF00"/>
        </w:rPr>
        <w:t>1</w:t>
      </w:r>
      <w:r w:rsidR="00606C88">
        <w:rPr>
          <w:u w:color="FFFF00"/>
        </w:rPr>
        <w:t>.</w:t>
      </w:r>
      <w:r w:rsidR="005F1BE1">
        <w:rPr>
          <w:u w:color="FFFF00"/>
        </w:rPr>
        <w:t>3</w:t>
      </w:r>
      <w:r w:rsidR="001542D8">
        <w:rPr>
          <w:u w:color="FFFF00"/>
        </w:rPr>
        <w:tab/>
      </w:r>
      <w:r w:rsidR="00741EFE">
        <w:rPr>
          <w:u w:color="FFFF00"/>
        </w:rPr>
        <w:t xml:space="preserve">Reasons for </w:t>
      </w:r>
      <w:bookmarkEnd w:id="18"/>
      <w:bookmarkEnd w:id="19"/>
      <w:r w:rsidR="00DE79D9" w:rsidRPr="00556352">
        <w:t>preparing the Proposal</w:t>
      </w:r>
      <w:bookmarkEnd w:id="21"/>
    </w:p>
    <w:p w14:paraId="647C0552" w14:textId="4046BD74" w:rsidR="00E214C1" w:rsidRPr="00183CF0" w:rsidRDefault="00E214C1" w:rsidP="00E214C1">
      <w:pPr>
        <w:rPr>
          <w:rFonts w:eastAsia="Calibri"/>
          <w:lang w:bidi="ar-SA"/>
        </w:rPr>
      </w:pPr>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3"/>
      <w:bookmarkEnd w:id="4"/>
      <w:bookmarkEnd w:id="5"/>
      <w:bookmarkEnd w:id="6"/>
      <w:bookmarkEnd w:id="7"/>
      <w:bookmarkEnd w:id="20"/>
      <w:r w:rsidRPr="00E214C1">
        <w:t xml:space="preserve">The Proposal was prepared </w:t>
      </w:r>
      <w:r>
        <w:t xml:space="preserve">to determine whether there are any public health and safety concerns from the migration of chemicals from virgin and recycled packaging into food and </w:t>
      </w:r>
      <w:r w:rsidRPr="00183CF0">
        <w:rPr>
          <w:rFonts w:eastAsia="Calibri"/>
          <w:lang w:bidi="ar-SA"/>
        </w:rPr>
        <w:t xml:space="preserve">whether </w:t>
      </w:r>
      <w:r>
        <w:rPr>
          <w:rFonts w:eastAsia="Calibri"/>
          <w:lang w:bidi="ar-SA"/>
        </w:rPr>
        <w:t>additional measures are required to manage this</w:t>
      </w:r>
      <w:r w:rsidR="00E76ACC">
        <w:rPr>
          <w:rFonts w:eastAsia="Calibri"/>
          <w:lang w:bidi="ar-SA"/>
        </w:rPr>
        <w:t xml:space="preserve">. </w:t>
      </w:r>
      <w:r>
        <w:rPr>
          <w:rFonts w:eastAsia="Calibri"/>
          <w:lang w:bidi="ar-SA"/>
        </w:rPr>
        <w:t xml:space="preserve">This work provides the food regulatory system and </w:t>
      </w:r>
      <w:r w:rsidR="007A21C4">
        <w:rPr>
          <w:rFonts w:eastAsia="Calibri"/>
          <w:lang w:bidi="ar-SA"/>
        </w:rPr>
        <w:t xml:space="preserve">all stakeholders </w:t>
      </w:r>
      <w:r>
        <w:rPr>
          <w:rFonts w:eastAsia="Calibri"/>
          <w:lang w:bidi="ar-SA"/>
        </w:rPr>
        <w:t xml:space="preserve">with the opportunity to </w:t>
      </w:r>
      <w:r w:rsidR="000D6ED8">
        <w:rPr>
          <w:rFonts w:eastAsia="Calibri"/>
          <w:lang w:bidi="ar-SA"/>
        </w:rPr>
        <w:t xml:space="preserve">consider FSANZ’s </w:t>
      </w:r>
      <w:r>
        <w:rPr>
          <w:rFonts w:eastAsia="Calibri"/>
          <w:lang w:bidi="ar-SA"/>
        </w:rPr>
        <w:t xml:space="preserve">review </w:t>
      </w:r>
      <w:r w:rsidR="000D6ED8">
        <w:rPr>
          <w:rFonts w:eastAsia="Calibri"/>
          <w:lang w:bidi="ar-SA"/>
        </w:rPr>
        <w:t xml:space="preserve">of </w:t>
      </w:r>
      <w:r>
        <w:rPr>
          <w:rFonts w:eastAsia="Calibri"/>
          <w:lang w:bidi="ar-SA"/>
        </w:rPr>
        <w:t xml:space="preserve">current practices and </w:t>
      </w:r>
      <w:r w:rsidR="000D6ED8">
        <w:rPr>
          <w:rFonts w:eastAsia="Calibri"/>
          <w:lang w:bidi="ar-SA"/>
        </w:rPr>
        <w:t xml:space="preserve">further </w:t>
      </w:r>
      <w:r w:rsidR="00946479">
        <w:rPr>
          <w:rFonts w:eastAsia="Calibri"/>
          <w:lang w:bidi="ar-SA"/>
        </w:rPr>
        <w:t xml:space="preserve">investigate </w:t>
      </w:r>
      <w:r>
        <w:rPr>
          <w:rFonts w:eastAsia="Calibri"/>
          <w:lang w:bidi="ar-SA"/>
        </w:rPr>
        <w:t xml:space="preserve">any gaps which may be addressed through regulatory or non-regulatory </w:t>
      </w:r>
      <w:r w:rsidR="000D6ED8">
        <w:rPr>
          <w:rFonts w:eastAsia="Calibri"/>
          <w:lang w:bidi="ar-SA"/>
        </w:rPr>
        <w:t xml:space="preserve">risk management options. </w:t>
      </w:r>
      <w:r w:rsidR="000F4D20">
        <w:rPr>
          <w:rFonts w:eastAsia="Calibri"/>
          <w:lang w:bidi="ar-SA"/>
        </w:rPr>
        <w:t xml:space="preserve">This Proposal also aims to find a pathway to address CMPF issues as they emerge and to provide </w:t>
      </w:r>
      <w:r w:rsidR="00D352DC">
        <w:rPr>
          <w:rFonts w:eastAsia="Calibri"/>
          <w:lang w:bidi="ar-SA"/>
        </w:rPr>
        <w:t>a</w:t>
      </w:r>
      <w:r w:rsidR="00AA158B">
        <w:rPr>
          <w:rFonts w:eastAsia="Calibri"/>
          <w:lang w:bidi="ar-SA"/>
        </w:rPr>
        <w:t xml:space="preserve"> framework </w:t>
      </w:r>
      <w:r w:rsidR="00D352DC">
        <w:rPr>
          <w:rFonts w:eastAsia="Calibri"/>
          <w:lang w:bidi="ar-SA"/>
        </w:rPr>
        <w:t>for</w:t>
      </w:r>
      <w:r w:rsidR="00AA158B">
        <w:rPr>
          <w:rFonts w:eastAsia="Calibri"/>
          <w:lang w:bidi="ar-SA"/>
        </w:rPr>
        <w:t xml:space="preserve"> how these might be managed in the future. </w:t>
      </w:r>
    </w:p>
    <w:p w14:paraId="6A2779A8" w14:textId="377F7AD8" w:rsidR="00DE79D9" w:rsidRDefault="00D3171B" w:rsidP="00DE79D9">
      <w:pPr>
        <w:pStyle w:val="Heading2"/>
      </w:pPr>
      <w:bookmarkStart w:id="29" w:name="_Toc452645324"/>
      <w:r>
        <w:t>1</w:t>
      </w:r>
      <w:r w:rsidR="00606C88">
        <w:t>.</w:t>
      </w:r>
      <w:r w:rsidR="005F1BE1">
        <w:t>4</w:t>
      </w:r>
      <w:r w:rsidR="00DE79D9">
        <w:tab/>
        <w:t>Procedure for assessment</w:t>
      </w:r>
      <w:bookmarkEnd w:id="29"/>
    </w:p>
    <w:p w14:paraId="61FBC2C2" w14:textId="25B5BDBB" w:rsidR="00DE79D9" w:rsidRDefault="003A377C" w:rsidP="00180C41">
      <w:pPr>
        <w:rPr>
          <w:szCs w:val="22"/>
        </w:rPr>
      </w:pPr>
      <w:r>
        <w:rPr>
          <w:szCs w:val="22"/>
        </w:rPr>
        <w:t>The Proposal is being assessed under the Major Procedure</w:t>
      </w:r>
      <w:r>
        <w:rPr>
          <w:sz w:val="14"/>
          <w:szCs w:val="14"/>
        </w:rPr>
        <w:t xml:space="preserve"> </w:t>
      </w:r>
      <w:r>
        <w:rPr>
          <w:szCs w:val="22"/>
        </w:rPr>
        <w:t xml:space="preserve">(which means it includes </w:t>
      </w:r>
      <w:r w:rsidR="00151B3D">
        <w:rPr>
          <w:szCs w:val="22"/>
        </w:rPr>
        <w:t xml:space="preserve">at least </w:t>
      </w:r>
      <w:r>
        <w:rPr>
          <w:szCs w:val="22"/>
        </w:rPr>
        <w:t xml:space="preserve">two rounds of public consultation). </w:t>
      </w:r>
    </w:p>
    <w:p w14:paraId="25C14CC3" w14:textId="77777777" w:rsidR="003A377C" w:rsidRPr="00D062E4" w:rsidRDefault="003A377C" w:rsidP="00180C41"/>
    <w:p w14:paraId="126B7C6C" w14:textId="1F581384" w:rsidR="00AF387F" w:rsidRDefault="00D3171B" w:rsidP="00180C41">
      <w:pPr>
        <w:pStyle w:val="Heading1"/>
      </w:pPr>
      <w:bookmarkStart w:id="30" w:name="_Toc300933424"/>
      <w:bookmarkStart w:id="31" w:name="_Toc452645325"/>
      <w:r>
        <w:t>2</w:t>
      </w:r>
      <w:r w:rsidR="001542D8">
        <w:tab/>
      </w:r>
      <w:r w:rsidR="00350DBD">
        <w:t>S</w:t>
      </w:r>
      <w:r w:rsidR="00FB1533">
        <w:t>ummary of the a</w:t>
      </w:r>
      <w:r w:rsidR="00FD2FBE">
        <w:t>ssessment</w:t>
      </w:r>
      <w:bookmarkEnd w:id="22"/>
      <w:bookmarkEnd w:id="30"/>
      <w:bookmarkEnd w:id="31"/>
    </w:p>
    <w:p w14:paraId="1A1C9465" w14:textId="312880CC" w:rsidR="00CB36C3" w:rsidRPr="008A792F" w:rsidRDefault="00CB36C3" w:rsidP="00CB36C3">
      <w:pPr>
        <w:pStyle w:val="Heading2"/>
      </w:pPr>
      <w:bookmarkStart w:id="32" w:name="_Toc300933438"/>
      <w:bookmarkStart w:id="33" w:name="_Toc425174935"/>
      <w:bookmarkStart w:id="34" w:name="_Toc452645326"/>
      <w:bookmarkStart w:id="35" w:name="_Toc286391009"/>
      <w:bookmarkStart w:id="36" w:name="_Toc300933425"/>
      <w:bookmarkStart w:id="37" w:name="_Toc120358583"/>
      <w:bookmarkStart w:id="38" w:name="_Toc175381440"/>
      <w:r w:rsidRPr="008A792F">
        <w:t>2.1</w:t>
      </w:r>
      <w:r w:rsidRPr="008A792F">
        <w:tab/>
        <w:t xml:space="preserve">Summary of issues raised </w:t>
      </w:r>
      <w:bookmarkEnd w:id="32"/>
      <w:r w:rsidRPr="008A792F">
        <w:t>in submissions</w:t>
      </w:r>
      <w:bookmarkEnd w:id="33"/>
      <w:bookmarkEnd w:id="34"/>
    </w:p>
    <w:p w14:paraId="05C467DF" w14:textId="6F22653C" w:rsidR="00CB36C3" w:rsidRDefault="00CB36C3" w:rsidP="00CB36C3">
      <w:pPr>
        <w:rPr>
          <w:rFonts w:eastAsiaTheme="minorHAnsi" w:cstheme="minorBidi"/>
          <w:szCs w:val="22"/>
        </w:rPr>
      </w:pPr>
      <w:r w:rsidRPr="000A1E08">
        <w:rPr>
          <w:rFonts w:eastAsiaTheme="minorHAnsi" w:cstheme="minorBidi"/>
          <w:szCs w:val="22"/>
        </w:rPr>
        <w:t xml:space="preserve">FSANZ released </w:t>
      </w:r>
      <w:r>
        <w:rPr>
          <w:rFonts w:eastAsiaTheme="minorHAnsi" w:cstheme="minorBidi"/>
          <w:szCs w:val="22"/>
        </w:rPr>
        <w:t>a</w:t>
      </w:r>
      <w:r w:rsidRPr="000A1E08">
        <w:rPr>
          <w:rFonts w:eastAsiaTheme="minorHAnsi" w:cstheme="minorBidi"/>
          <w:szCs w:val="22"/>
        </w:rPr>
        <w:t xml:space="preserve"> </w:t>
      </w:r>
      <w:r>
        <w:rPr>
          <w:rFonts w:eastAsiaTheme="minorHAnsi" w:cstheme="minorBidi"/>
          <w:szCs w:val="22"/>
        </w:rPr>
        <w:t>consultation p</w:t>
      </w:r>
      <w:r w:rsidRPr="000A1E08">
        <w:rPr>
          <w:rFonts w:eastAsiaTheme="minorHAnsi" w:cstheme="minorBidi"/>
          <w:szCs w:val="22"/>
        </w:rPr>
        <w:t xml:space="preserve">aper on </w:t>
      </w:r>
      <w:r>
        <w:rPr>
          <w:rFonts w:eastAsiaTheme="minorHAnsi" w:cstheme="minorBidi"/>
          <w:szCs w:val="22"/>
        </w:rPr>
        <w:t>CMPF</w:t>
      </w:r>
      <w:r w:rsidRPr="000A1E08">
        <w:rPr>
          <w:rFonts w:eastAsiaTheme="minorHAnsi" w:cstheme="minorBidi"/>
          <w:szCs w:val="22"/>
        </w:rPr>
        <w:t xml:space="preserve"> </w:t>
      </w:r>
      <w:r>
        <w:rPr>
          <w:rFonts w:eastAsiaTheme="minorHAnsi" w:cstheme="minorBidi"/>
          <w:szCs w:val="22"/>
        </w:rPr>
        <w:t xml:space="preserve">for public comment </w:t>
      </w:r>
      <w:r w:rsidRPr="000A1E08">
        <w:rPr>
          <w:rFonts w:eastAsiaTheme="minorHAnsi" w:cstheme="minorBidi"/>
          <w:szCs w:val="22"/>
        </w:rPr>
        <w:t xml:space="preserve">in </w:t>
      </w:r>
      <w:r>
        <w:rPr>
          <w:rFonts w:eastAsiaTheme="minorHAnsi" w:cstheme="minorBidi"/>
          <w:szCs w:val="22"/>
        </w:rPr>
        <w:t>November</w:t>
      </w:r>
      <w:r w:rsidRPr="000A1E08">
        <w:rPr>
          <w:rFonts w:eastAsiaTheme="minorHAnsi" w:cstheme="minorBidi"/>
          <w:szCs w:val="22"/>
        </w:rPr>
        <w:t xml:space="preserve"> 2014</w:t>
      </w:r>
      <w:r>
        <w:rPr>
          <w:rStyle w:val="FootnoteReference"/>
          <w:rFonts w:eastAsiaTheme="minorHAnsi" w:cstheme="minorBidi"/>
          <w:szCs w:val="22"/>
        </w:rPr>
        <w:footnoteReference w:id="7"/>
      </w:r>
      <w:r>
        <w:rPr>
          <w:rFonts w:eastAsiaTheme="minorHAnsi" w:cstheme="minorBidi"/>
          <w:szCs w:val="22"/>
        </w:rPr>
        <w:t xml:space="preserve">. </w:t>
      </w:r>
      <w:r w:rsidRPr="000A1E08">
        <w:rPr>
          <w:rFonts w:eastAsiaTheme="minorHAnsi" w:cstheme="minorBidi"/>
          <w:szCs w:val="22"/>
        </w:rPr>
        <w:t>The paper presented an overview of the packaging supply chain, potential public health issues associated with CMPF, and the range of control measures which address chemical migration</w:t>
      </w:r>
      <w:r>
        <w:rPr>
          <w:rFonts w:eastAsiaTheme="minorHAnsi" w:cstheme="minorBidi"/>
          <w:szCs w:val="22"/>
        </w:rPr>
        <w:t xml:space="preserve">. Questions were posed to gather </w:t>
      </w:r>
      <w:r w:rsidRPr="000A1E08">
        <w:rPr>
          <w:rFonts w:eastAsiaTheme="minorHAnsi" w:cstheme="minorBidi"/>
          <w:szCs w:val="22"/>
        </w:rPr>
        <w:t>information on the size and range o</w:t>
      </w:r>
      <w:r>
        <w:rPr>
          <w:rFonts w:eastAsiaTheme="minorHAnsi" w:cstheme="minorBidi"/>
          <w:szCs w:val="22"/>
        </w:rPr>
        <w:t>f the food packaging market, the</w:t>
      </w:r>
      <w:r w:rsidRPr="000A1E08">
        <w:rPr>
          <w:rFonts w:eastAsiaTheme="minorHAnsi" w:cstheme="minorBidi"/>
          <w:szCs w:val="22"/>
        </w:rPr>
        <w:t xml:space="preserve"> packaging</w:t>
      </w:r>
      <w:r>
        <w:rPr>
          <w:rFonts w:eastAsiaTheme="minorHAnsi" w:cstheme="minorBidi"/>
          <w:szCs w:val="22"/>
        </w:rPr>
        <w:t xml:space="preserve"> type that is used and the</w:t>
      </w:r>
      <w:r w:rsidRPr="000A1E08">
        <w:rPr>
          <w:rFonts w:eastAsiaTheme="minorHAnsi" w:cstheme="minorBidi"/>
          <w:szCs w:val="22"/>
        </w:rPr>
        <w:t xml:space="preserve"> standards and practices packaging manufacturers and food manufacturers are using to manage any risks relating to this issue.</w:t>
      </w:r>
    </w:p>
    <w:p w14:paraId="15B61CB4" w14:textId="4A668AD0" w:rsidR="00CB36C3" w:rsidRDefault="00CB36C3" w:rsidP="00CB36C3">
      <w:pPr>
        <w:rPr>
          <w:rFonts w:eastAsiaTheme="minorHAnsi" w:cstheme="minorBidi"/>
          <w:szCs w:val="22"/>
        </w:rPr>
      </w:pPr>
    </w:p>
    <w:p w14:paraId="602BE0C0" w14:textId="77777777" w:rsidR="00462A77" w:rsidRDefault="00462A77" w:rsidP="00CB36C3">
      <w:pPr>
        <w:rPr>
          <w:rFonts w:eastAsiaTheme="minorHAnsi" w:cstheme="minorBidi"/>
          <w:szCs w:val="22"/>
        </w:rPr>
      </w:pPr>
      <w:r>
        <w:rPr>
          <w:rFonts w:eastAsiaTheme="minorHAnsi" w:cstheme="minorBidi"/>
          <w:szCs w:val="22"/>
        </w:rPr>
        <w:br w:type="page"/>
      </w:r>
    </w:p>
    <w:p w14:paraId="597017B8" w14:textId="4DB62811" w:rsidR="00887597" w:rsidRDefault="00CB36C3" w:rsidP="00CB36C3">
      <w:pPr>
        <w:rPr>
          <w:rFonts w:eastAsiaTheme="minorHAnsi" w:cstheme="minorBidi"/>
          <w:szCs w:val="22"/>
        </w:rPr>
      </w:pPr>
      <w:r w:rsidRPr="000A1E08">
        <w:rPr>
          <w:rFonts w:eastAsiaTheme="minorHAnsi" w:cstheme="minorBidi"/>
          <w:szCs w:val="22"/>
        </w:rPr>
        <w:lastRenderedPageBreak/>
        <w:t xml:space="preserve">The consultation paper generated a high level of interest and was well received as evidenced by the number and quality of submissions. </w:t>
      </w:r>
      <w:r>
        <w:rPr>
          <w:rFonts w:eastAsiaTheme="minorHAnsi" w:cstheme="minorBidi"/>
          <w:szCs w:val="22"/>
        </w:rPr>
        <w:t>Thirty-</w:t>
      </w:r>
      <w:r w:rsidR="00566828">
        <w:rPr>
          <w:rFonts w:eastAsiaTheme="minorHAnsi" w:cstheme="minorBidi"/>
          <w:szCs w:val="22"/>
        </w:rPr>
        <w:t>seven</w:t>
      </w:r>
      <w:r w:rsidRPr="000A1E08">
        <w:rPr>
          <w:rFonts w:eastAsiaTheme="minorHAnsi" w:cstheme="minorBidi"/>
          <w:szCs w:val="22"/>
        </w:rPr>
        <w:t xml:space="preserve"> submissions were received from a broad range of Trans-Tasman stakeholders including, </w:t>
      </w:r>
      <w:r>
        <w:rPr>
          <w:rFonts w:eastAsiaTheme="minorHAnsi" w:cstheme="minorBidi"/>
          <w:szCs w:val="22"/>
        </w:rPr>
        <w:t xml:space="preserve">industry, </w:t>
      </w:r>
      <w:r w:rsidRPr="000A1E08">
        <w:rPr>
          <w:rFonts w:eastAsiaTheme="minorHAnsi" w:cstheme="minorBidi"/>
          <w:szCs w:val="22"/>
        </w:rPr>
        <w:t xml:space="preserve">government authorities and </w:t>
      </w:r>
      <w:r w:rsidRPr="007E1F9F">
        <w:rPr>
          <w:rFonts w:eastAsiaTheme="minorHAnsi" w:cstheme="minorBidi"/>
          <w:szCs w:val="22"/>
        </w:rPr>
        <w:t>consumers</w:t>
      </w:r>
      <w:r w:rsidR="001F1259">
        <w:rPr>
          <w:rFonts w:eastAsiaTheme="minorHAnsi" w:cstheme="minorBidi"/>
          <w:szCs w:val="22"/>
        </w:rPr>
        <w:t xml:space="preserve">. </w:t>
      </w:r>
    </w:p>
    <w:p w14:paraId="5E88B08A" w14:textId="77777777" w:rsidR="00887597" w:rsidRDefault="00887597" w:rsidP="00CB36C3">
      <w:pPr>
        <w:rPr>
          <w:rFonts w:eastAsiaTheme="minorHAnsi" w:cstheme="minorBidi"/>
          <w:szCs w:val="22"/>
        </w:rPr>
      </w:pPr>
    </w:p>
    <w:p w14:paraId="5AD194CD" w14:textId="1E848DCA" w:rsidR="00CB36C3" w:rsidRPr="000A1E08" w:rsidRDefault="001F1259" w:rsidP="00CB36C3">
      <w:pPr>
        <w:rPr>
          <w:rFonts w:eastAsiaTheme="minorHAnsi" w:cstheme="minorBidi"/>
          <w:szCs w:val="22"/>
        </w:rPr>
      </w:pPr>
      <w:r>
        <w:rPr>
          <w:rFonts w:eastAsiaTheme="minorHAnsi" w:cstheme="minorBidi"/>
          <w:szCs w:val="22"/>
        </w:rPr>
        <w:t>F</w:t>
      </w:r>
      <w:r w:rsidR="00887597">
        <w:rPr>
          <w:rFonts w:eastAsiaTheme="minorHAnsi" w:cstheme="minorBidi"/>
          <w:szCs w:val="22"/>
        </w:rPr>
        <w:t>SANZ has</w:t>
      </w:r>
      <w:r>
        <w:rPr>
          <w:rFonts w:eastAsiaTheme="minorHAnsi" w:cstheme="minorBidi"/>
          <w:szCs w:val="22"/>
        </w:rPr>
        <w:t xml:space="preserve"> had regard to the submissions and the issues </w:t>
      </w:r>
      <w:proofErr w:type="gramStart"/>
      <w:r>
        <w:rPr>
          <w:rFonts w:eastAsiaTheme="minorHAnsi" w:cstheme="minorBidi"/>
          <w:szCs w:val="22"/>
        </w:rPr>
        <w:t>raised</w:t>
      </w:r>
      <w:proofErr w:type="gramEnd"/>
      <w:r w:rsidR="00887597">
        <w:rPr>
          <w:rFonts w:eastAsiaTheme="minorHAnsi" w:cstheme="minorBidi"/>
          <w:szCs w:val="22"/>
        </w:rPr>
        <w:t>. These</w:t>
      </w:r>
      <w:r>
        <w:rPr>
          <w:rFonts w:eastAsiaTheme="minorHAnsi" w:cstheme="minorBidi"/>
          <w:szCs w:val="22"/>
        </w:rPr>
        <w:t xml:space="preserve"> are summarised in</w:t>
      </w:r>
      <w:r w:rsidR="00CB36C3" w:rsidRPr="007E1F9F">
        <w:rPr>
          <w:rFonts w:eastAsiaTheme="minorHAnsi" w:cstheme="minorBidi"/>
          <w:szCs w:val="22"/>
        </w:rPr>
        <w:t xml:space="preserve"> </w:t>
      </w:r>
      <w:r w:rsidR="008A792F">
        <w:rPr>
          <w:rFonts w:eastAsiaTheme="minorHAnsi" w:cstheme="minorBidi"/>
          <w:szCs w:val="22"/>
        </w:rPr>
        <w:t>SD7</w:t>
      </w:r>
      <w:r w:rsidR="00CB36C3" w:rsidRPr="004909F6">
        <w:rPr>
          <w:rFonts w:eastAsiaTheme="minorHAnsi" w:cstheme="minorBidi"/>
          <w:szCs w:val="22"/>
        </w:rPr>
        <w:t xml:space="preserve">. </w:t>
      </w:r>
    </w:p>
    <w:p w14:paraId="35465E8E" w14:textId="77777777" w:rsidR="00CB36C3" w:rsidRPr="000A1E08" w:rsidRDefault="00CB36C3" w:rsidP="00CB36C3">
      <w:pPr>
        <w:rPr>
          <w:rFonts w:eastAsiaTheme="minorHAnsi" w:cstheme="minorBidi"/>
          <w:szCs w:val="22"/>
        </w:rPr>
      </w:pPr>
    </w:p>
    <w:p w14:paraId="67A63E82" w14:textId="4CF0FBA5" w:rsidR="00CB36C3" w:rsidRPr="000A1E08" w:rsidRDefault="00887597" w:rsidP="00CB36C3">
      <w:pPr>
        <w:rPr>
          <w:rFonts w:eastAsiaTheme="minorHAnsi" w:cstheme="minorBidi"/>
          <w:szCs w:val="22"/>
        </w:rPr>
      </w:pPr>
      <w:r>
        <w:rPr>
          <w:rFonts w:eastAsiaTheme="minorHAnsi" w:cstheme="minorBidi"/>
          <w:szCs w:val="22"/>
        </w:rPr>
        <w:t xml:space="preserve">Submitters recommended that </w:t>
      </w:r>
      <w:r w:rsidR="00CB36C3" w:rsidRPr="000A1E08">
        <w:rPr>
          <w:rFonts w:eastAsiaTheme="minorHAnsi" w:cstheme="minorBidi"/>
          <w:szCs w:val="22"/>
        </w:rPr>
        <w:t xml:space="preserve">FSANZ take a proportionate and informed approach </w:t>
      </w:r>
      <w:r w:rsidR="00CB36C3">
        <w:rPr>
          <w:rFonts w:eastAsiaTheme="minorHAnsi" w:cstheme="minorBidi"/>
          <w:szCs w:val="22"/>
        </w:rPr>
        <w:t xml:space="preserve">to </w:t>
      </w:r>
      <w:r w:rsidR="00D2730B">
        <w:rPr>
          <w:rFonts w:eastAsiaTheme="minorHAnsi" w:cstheme="minorBidi"/>
          <w:szCs w:val="22"/>
        </w:rPr>
        <w:t xml:space="preserve">introducing </w:t>
      </w:r>
      <w:r w:rsidR="00CB36C3">
        <w:rPr>
          <w:rFonts w:eastAsiaTheme="minorHAnsi" w:cstheme="minorBidi"/>
          <w:szCs w:val="22"/>
        </w:rPr>
        <w:t>any risk mitigation measures</w:t>
      </w:r>
      <w:r w:rsidR="00CB36C3" w:rsidRPr="000A1E08">
        <w:rPr>
          <w:rFonts w:eastAsiaTheme="minorHAnsi" w:cstheme="minorBidi"/>
          <w:szCs w:val="22"/>
        </w:rPr>
        <w:t xml:space="preserve">. </w:t>
      </w:r>
      <w:r w:rsidR="00CB36C3">
        <w:rPr>
          <w:rFonts w:eastAsiaTheme="minorHAnsi" w:cstheme="minorBidi"/>
          <w:szCs w:val="22"/>
        </w:rPr>
        <w:t xml:space="preserve">Overall there was a call for greater guidance and information for industry on CMPF, what control measures can be used and how they can meet Code requirements. </w:t>
      </w:r>
      <w:r w:rsidR="00CB36C3" w:rsidRPr="000A1E08">
        <w:rPr>
          <w:rFonts w:eastAsiaTheme="minorHAnsi" w:cstheme="minorBidi"/>
          <w:szCs w:val="22"/>
        </w:rPr>
        <w:t xml:space="preserve">Specific industry submitters (in particular large packaging manufacturers and industry peak bodies) suggested that the risk from CMPF was low and did not require a prescriptive approach or any change to the Code. They emphasised that there is sufficient identification and mitigation of risks in place through various parallel measures such as voluntary adherence to international regulations (e.g. EU/US), Codes of Practice and in-house quality assurance schemes for a range of packaging materials. </w:t>
      </w:r>
    </w:p>
    <w:p w14:paraId="6FB8E1A8" w14:textId="77777777" w:rsidR="00415DF7" w:rsidRDefault="00415DF7" w:rsidP="00415DF7">
      <w:pPr>
        <w:rPr>
          <w:rFonts w:eastAsiaTheme="minorHAnsi"/>
        </w:rPr>
      </w:pPr>
    </w:p>
    <w:p w14:paraId="6974CA23" w14:textId="19465978" w:rsidR="00295E49" w:rsidRDefault="00CB36C3" w:rsidP="00462A77">
      <w:pPr>
        <w:ind w:right="-286"/>
        <w:rPr>
          <w:rFonts w:eastAsiaTheme="minorHAnsi"/>
        </w:rPr>
      </w:pPr>
      <w:r w:rsidRPr="00D2730B">
        <w:rPr>
          <w:rFonts w:eastAsiaTheme="minorHAnsi"/>
        </w:rPr>
        <w:t>In contrast, other industry submissions as well a</w:t>
      </w:r>
      <w:r w:rsidR="00566828">
        <w:rPr>
          <w:rFonts w:eastAsiaTheme="minorHAnsi"/>
        </w:rPr>
        <w:t xml:space="preserve">s government, consumers and </w:t>
      </w:r>
      <w:r w:rsidR="00415DF7">
        <w:rPr>
          <w:rFonts w:eastAsiaTheme="minorHAnsi"/>
        </w:rPr>
        <w:t>non-</w:t>
      </w:r>
      <w:r w:rsidR="00415DF7" w:rsidRPr="00D2730B">
        <w:rPr>
          <w:rFonts w:eastAsiaTheme="minorHAnsi"/>
        </w:rPr>
        <w:t>government</w:t>
      </w:r>
      <w:r w:rsidRPr="00D2730B">
        <w:rPr>
          <w:rFonts w:eastAsiaTheme="minorHAnsi"/>
        </w:rPr>
        <w:t xml:space="preserve"> organisations expressed a view that there is a potential risk from CMPF</w:t>
      </w:r>
      <w:r w:rsidR="00D2730B">
        <w:rPr>
          <w:rFonts w:eastAsiaTheme="minorHAnsi"/>
        </w:rPr>
        <w:t xml:space="preserve">. </w:t>
      </w:r>
      <w:r w:rsidR="00D2730B" w:rsidRPr="00566828">
        <w:rPr>
          <w:rFonts w:eastAsiaTheme="minorHAnsi"/>
          <w:szCs w:val="22"/>
        </w:rPr>
        <w:t>They also suggested there a</w:t>
      </w:r>
      <w:r w:rsidRPr="00D2730B">
        <w:rPr>
          <w:rFonts w:eastAsiaTheme="minorHAnsi"/>
        </w:rPr>
        <w:t>re gaps in both the knowledge and awareness of regulations for CMPF, particularly for small-to-medium enterprises (SME’s)</w:t>
      </w:r>
      <w:r w:rsidR="00D2730B" w:rsidRPr="00566828">
        <w:rPr>
          <w:rFonts w:eastAsiaTheme="minorHAnsi"/>
          <w:szCs w:val="22"/>
        </w:rPr>
        <w:t>,</w:t>
      </w:r>
      <w:r w:rsidRPr="00D2730B">
        <w:rPr>
          <w:rFonts w:eastAsiaTheme="minorHAnsi"/>
        </w:rPr>
        <w:t xml:space="preserve"> and that this could be addressed by a risk-based prescriptive requirement in the Code and further education for SME’s. There was a call for FSANZ to focus on recycled materials, printing inks, imported packaging and to broaden the scope of the Proposal to include all types of packaging materials.</w:t>
      </w:r>
      <w:r w:rsidR="00946479">
        <w:rPr>
          <w:rFonts w:eastAsiaTheme="minorHAnsi"/>
        </w:rPr>
        <w:t xml:space="preserve"> </w:t>
      </w:r>
      <w:r w:rsidR="008A792F" w:rsidRPr="00D2730B">
        <w:rPr>
          <w:rFonts w:eastAsiaTheme="minorHAnsi"/>
        </w:rPr>
        <w:t>Th</w:t>
      </w:r>
      <w:r w:rsidR="007F4D2C" w:rsidRPr="00D2730B">
        <w:rPr>
          <w:rFonts w:eastAsiaTheme="minorHAnsi"/>
        </w:rPr>
        <w:t xml:space="preserve">e current </w:t>
      </w:r>
      <w:r w:rsidR="008A792F" w:rsidRPr="00D2730B">
        <w:rPr>
          <w:rFonts w:eastAsiaTheme="minorHAnsi"/>
        </w:rPr>
        <w:t>assess</w:t>
      </w:r>
      <w:r w:rsidR="001A66B1" w:rsidRPr="00D2730B">
        <w:rPr>
          <w:rFonts w:eastAsiaTheme="minorHAnsi"/>
        </w:rPr>
        <w:t>ment consider</w:t>
      </w:r>
      <w:r w:rsidR="00822BA2" w:rsidRPr="00D2730B">
        <w:rPr>
          <w:rFonts w:eastAsiaTheme="minorHAnsi"/>
        </w:rPr>
        <w:t>s</w:t>
      </w:r>
      <w:r w:rsidR="001A66B1" w:rsidRPr="00D2730B">
        <w:rPr>
          <w:rFonts w:eastAsiaTheme="minorHAnsi"/>
        </w:rPr>
        <w:t xml:space="preserve"> virgin and </w:t>
      </w:r>
      <w:r w:rsidR="008A792F" w:rsidRPr="00D2730B">
        <w:rPr>
          <w:rFonts w:eastAsiaTheme="minorHAnsi"/>
        </w:rPr>
        <w:t xml:space="preserve">recycled </w:t>
      </w:r>
      <w:r w:rsidR="007F4D2C" w:rsidRPr="00D2730B">
        <w:rPr>
          <w:rFonts w:eastAsiaTheme="minorHAnsi"/>
        </w:rPr>
        <w:t xml:space="preserve">packaging </w:t>
      </w:r>
      <w:r w:rsidR="008A792F" w:rsidRPr="00D2730B">
        <w:rPr>
          <w:rFonts w:eastAsiaTheme="minorHAnsi"/>
        </w:rPr>
        <w:t>materials</w:t>
      </w:r>
      <w:r w:rsidR="001A66B1" w:rsidRPr="00D2730B">
        <w:rPr>
          <w:rFonts w:eastAsiaTheme="minorHAnsi"/>
        </w:rPr>
        <w:t xml:space="preserve"> (including </w:t>
      </w:r>
      <w:r w:rsidR="00822BA2" w:rsidRPr="00D2730B">
        <w:rPr>
          <w:rFonts w:eastAsiaTheme="minorHAnsi"/>
        </w:rPr>
        <w:t xml:space="preserve">chemicals associated with </w:t>
      </w:r>
      <w:r w:rsidR="001A66B1" w:rsidRPr="00D2730B">
        <w:rPr>
          <w:rFonts w:eastAsiaTheme="minorHAnsi"/>
        </w:rPr>
        <w:t xml:space="preserve">paper and paperboard, plastics, metal, </w:t>
      </w:r>
      <w:r w:rsidR="00822BA2" w:rsidRPr="00D2730B">
        <w:rPr>
          <w:rFonts w:eastAsiaTheme="minorHAnsi"/>
        </w:rPr>
        <w:t xml:space="preserve">glass, </w:t>
      </w:r>
      <w:r w:rsidR="001A66B1" w:rsidRPr="00DD539E">
        <w:rPr>
          <w:rFonts w:eastAsiaTheme="minorHAnsi"/>
        </w:rPr>
        <w:t>printing inks and adhesives)</w:t>
      </w:r>
      <w:r w:rsidR="00457D69" w:rsidRPr="007251CA">
        <w:rPr>
          <w:rFonts w:eastAsiaTheme="minorHAnsi"/>
        </w:rPr>
        <w:t>, irrespective of the source of the material (</w:t>
      </w:r>
      <w:r w:rsidR="00457D69" w:rsidRPr="00566828">
        <w:rPr>
          <w:rFonts w:eastAsiaTheme="minorHAnsi"/>
        </w:rPr>
        <w:t>domestically produced or imported).</w:t>
      </w:r>
      <w:r w:rsidR="007F4D2C" w:rsidRPr="00566828">
        <w:rPr>
          <w:rFonts w:eastAsiaTheme="minorHAnsi"/>
        </w:rPr>
        <w:t xml:space="preserve"> Information on </w:t>
      </w:r>
      <w:r w:rsidR="008A792F" w:rsidRPr="00566828">
        <w:rPr>
          <w:rFonts w:eastAsiaTheme="minorHAnsi"/>
        </w:rPr>
        <w:t xml:space="preserve">imported packaging </w:t>
      </w:r>
      <w:r w:rsidR="001A66B1" w:rsidRPr="00566828">
        <w:rPr>
          <w:rFonts w:eastAsiaTheme="minorHAnsi"/>
        </w:rPr>
        <w:t xml:space="preserve">is </w:t>
      </w:r>
      <w:r w:rsidR="007F4D2C" w:rsidRPr="00566828">
        <w:rPr>
          <w:rFonts w:eastAsiaTheme="minorHAnsi"/>
        </w:rPr>
        <w:t>detailed</w:t>
      </w:r>
      <w:r w:rsidR="001A66B1" w:rsidRPr="00566828">
        <w:rPr>
          <w:rFonts w:eastAsiaTheme="minorHAnsi"/>
        </w:rPr>
        <w:t xml:space="preserve"> in SD4</w:t>
      </w:r>
      <w:r w:rsidR="00462A77">
        <w:rPr>
          <w:rFonts w:eastAsiaTheme="minorHAnsi"/>
        </w:rPr>
        <w:t xml:space="preserve">. </w:t>
      </w:r>
      <w:r w:rsidR="001A66B1" w:rsidRPr="00566828">
        <w:rPr>
          <w:rFonts w:eastAsiaTheme="minorHAnsi"/>
        </w:rPr>
        <w:t>The health and safety risks arising from food produced using modified atmosphere packaging, active and intelligent packaging and nanomaterials was excluded from the scope of Proposal P1034 as the risks associated with CMPF from these packaging materials will be the</w:t>
      </w:r>
      <w:r w:rsidR="001A66B1" w:rsidRPr="00FF2C8C">
        <w:rPr>
          <w:lang w:eastAsia="en-GB"/>
        </w:rPr>
        <w:t xml:space="preserve"> </w:t>
      </w:r>
      <w:r w:rsidR="001A66B1" w:rsidRPr="00566828">
        <w:rPr>
          <w:rFonts w:eastAsiaTheme="minorHAnsi"/>
        </w:rPr>
        <w:t>subject of a subsequent examination.</w:t>
      </w:r>
    </w:p>
    <w:p w14:paraId="4AA8D0EB" w14:textId="407B9EF8" w:rsidR="00231231" w:rsidRDefault="00D3171B" w:rsidP="004646F8">
      <w:pPr>
        <w:pStyle w:val="Heading2"/>
      </w:pPr>
      <w:bookmarkStart w:id="39" w:name="_Toc452645327"/>
      <w:r>
        <w:t>2</w:t>
      </w:r>
      <w:r w:rsidR="00271F00">
        <w:t>.</w:t>
      </w:r>
      <w:r w:rsidR="00CB36C3">
        <w:t>2</w:t>
      </w:r>
      <w:r w:rsidR="00271F00">
        <w:tab/>
      </w:r>
      <w:r w:rsidR="004F69F6" w:rsidRPr="00932F14">
        <w:t xml:space="preserve">Risk </w:t>
      </w:r>
      <w:r w:rsidR="00741EFE">
        <w:t>a</w:t>
      </w:r>
      <w:r w:rsidR="004F69F6" w:rsidRPr="00932F14">
        <w:t>ssessment</w:t>
      </w:r>
      <w:bookmarkEnd w:id="35"/>
      <w:bookmarkEnd w:id="36"/>
      <w:bookmarkEnd w:id="39"/>
    </w:p>
    <w:p w14:paraId="086FC4AD" w14:textId="185202F4" w:rsidR="004F69F6" w:rsidRDefault="00231231" w:rsidP="00231231">
      <w:pPr>
        <w:pStyle w:val="Heading3"/>
      </w:pPr>
      <w:bookmarkStart w:id="40" w:name="_Toc452645328"/>
      <w:r>
        <w:t>2.</w:t>
      </w:r>
      <w:r w:rsidR="00CB36C3">
        <w:t>2</w:t>
      </w:r>
      <w:r>
        <w:t>.1</w:t>
      </w:r>
      <w:r>
        <w:tab/>
      </w:r>
      <w:r w:rsidR="003C4650">
        <w:t>Risk profile</w:t>
      </w:r>
      <w:bookmarkEnd w:id="40"/>
      <w:r w:rsidR="004F69F6" w:rsidRPr="00932F14">
        <w:t xml:space="preserve"> </w:t>
      </w:r>
      <w:bookmarkEnd w:id="37"/>
      <w:bookmarkEnd w:id="38"/>
    </w:p>
    <w:p w14:paraId="1B8676E3" w14:textId="77777777" w:rsidR="00531EBC" w:rsidRDefault="00531EBC" w:rsidP="00462A77">
      <w:pPr>
        <w:ind w:right="-286"/>
      </w:pPr>
      <w:r>
        <w:t>Food packaging is manufactured from a range of materials including glass, paper/ paperboard, a variety of plastics, and metals such as aluminium and steel. The bulk packaging material is often modified due to the use of adhesives, protective coatings and printing inks, for example. Several thousand chemicals are used in the manufacture of food packaging and other materials that come into contact with food during its production and processing.</w:t>
      </w:r>
    </w:p>
    <w:p w14:paraId="108BA12F" w14:textId="77777777" w:rsidR="00531EBC" w:rsidRDefault="00531EBC" w:rsidP="00531EBC"/>
    <w:p w14:paraId="57B33CD3" w14:textId="29D0937E" w:rsidR="00531EBC" w:rsidRDefault="00531EBC" w:rsidP="00531EBC">
      <w:r>
        <w:t xml:space="preserve">In order to gain an understanding of the risk posed by </w:t>
      </w:r>
      <w:r w:rsidRPr="00FB610B">
        <w:t>chemical mig</w:t>
      </w:r>
      <w:r>
        <w:t>ration from packaging into food, FSANZ</w:t>
      </w:r>
      <w:r w:rsidRPr="00E1357B">
        <w:t xml:space="preserve"> has investigat</w:t>
      </w:r>
      <w:r w:rsidR="00183CB3">
        <w:t>ed</w:t>
      </w:r>
      <w:r>
        <w:t xml:space="preserve"> the hazard characteristics of chemicals used in the production of food packaging, and estimated dietary exposure to these chemicals due to migration into food.</w:t>
      </w:r>
      <w:r w:rsidRPr="00F84F53">
        <w:t xml:space="preserve"> </w:t>
      </w:r>
      <w:r>
        <w:t xml:space="preserve">Use of </w:t>
      </w:r>
      <w:r w:rsidRPr="00F84F53">
        <w:t>the threshold of toxicological concern (TTC) concept</w:t>
      </w:r>
      <w:r>
        <w:t xml:space="preserve"> has been particularly valuable for this work. </w:t>
      </w:r>
    </w:p>
    <w:p w14:paraId="12313FB3" w14:textId="77777777" w:rsidR="00531EBC" w:rsidRDefault="00531EBC" w:rsidP="00531EBC"/>
    <w:p w14:paraId="06656FBA" w14:textId="0C276059" w:rsidR="00462A77" w:rsidRDefault="00531EBC" w:rsidP="00531EBC">
      <w:r>
        <w:t>The t</w:t>
      </w:r>
      <w:r w:rsidRPr="00142316">
        <w:t xml:space="preserve">oxicological </w:t>
      </w:r>
      <w:r>
        <w:t>properties of</w:t>
      </w:r>
      <w:r w:rsidRPr="00142316">
        <w:t xml:space="preserve"> packaging chemicals </w:t>
      </w:r>
      <w:r>
        <w:t>span a continuum ranging</w:t>
      </w:r>
      <w:r w:rsidRPr="00142316">
        <w:t xml:space="preserve"> from innocuous (“non-toxic”) to </w:t>
      </w:r>
      <w:r>
        <w:t xml:space="preserve">concerning (e.g. </w:t>
      </w:r>
      <w:r w:rsidRPr="00142316">
        <w:t>carcinogenic or toxic to reproduction/ development).</w:t>
      </w:r>
      <w:r>
        <w:t xml:space="preserve"> For example, the EU plastics regulation contains specific permissions for the use of water and vegetable oils in the production of food contact materials, while the same regulation also lists over 30 substances that may be used in food contact materials but, because of their adverse toxicological profiles, must not be detectable in food.</w:t>
      </w:r>
      <w:r w:rsidR="00462A77">
        <w:br w:type="page"/>
      </w:r>
    </w:p>
    <w:p w14:paraId="376BF516" w14:textId="0441F8AD" w:rsidR="00531EBC" w:rsidRDefault="00531EBC" w:rsidP="00531EBC">
      <w:r>
        <w:lastRenderedPageBreak/>
        <w:t xml:space="preserve">The TTC approach </w:t>
      </w:r>
      <w:r w:rsidRPr="006C724B">
        <w:t>is a screening tool, based on risk assessment principles</w:t>
      </w:r>
      <w:r>
        <w:t>, that</w:t>
      </w:r>
      <w:r w:rsidRPr="006C724B">
        <w:t xml:space="preserve"> categorises chemicals into various levels of safe expected exposure depending on chemical structure features.</w:t>
      </w:r>
      <w:r>
        <w:t xml:space="preserve"> </w:t>
      </w:r>
      <w:r w:rsidRPr="006C724B">
        <w:t xml:space="preserve">Estimated dietary exposure that is below the </w:t>
      </w:r>
      <w:r>
        <w:t xml:space="preserve">applicable </w:t>
      </w:r>
      <w:r w:rsidRPr="006C724B">
        <w:t>TTC indicates no safety concern, wh</w:t>
      </w:r>
      <w:r>
        <w:t>ile exposure above the</w:t>
      </w:r>
      <w:r w:rsidRPr="006C724B">
        <w:t xml:space="preserve"> threshold indicates that appropriate toxicity data on the chemical, or a close structural relative, is required to perform a safety assessment.</w:t>
      </w:r>
    </w:p>
    <w:p w14:paraId="43A613F3" w14:textId="77777777" w:rsidR="00531EBC" w:rsidRDefault="00531EBC" w:rsidP="00531EBC"/>
    <w:p w14:paraId="64AC9D3A" w14:textId="1BAE0A21" w:rsidR="00FD272F" w:rsidRDefault="00531EBC" w:rsidP="00531EBC">
      <w:r>
        <w:t xml:space="preserve">A TTC analysis, conducted on a US FDA database of over 1300 food contact substances, showed that for </w:t>
      </w:r>
      <w:r w:rsidRPr="00EC4740">
        <w:t>86% of the substances</w:t>
      </w:r>
      <w:r>
        <w:t xml:space="preserve">, </w:t>
      </w:r>
      <w:r w:rsidRPr="00EC4740">
        <w:t>estimated dietary exp</w:t>
      </w:r>
      <w:r>
        <w:t>osure is less than the lowest TTC value</w:t>
      </w:r>
      <w:r w:rsidRPr="00EC4740">
        <w:t xml:space="preserve"> for non-genotoxic substances </w:t>
      </w:r>
      <w:proofErr w:type="gramStart"/>
      <w:r w:rsidRPr="00EC4740">
        <w:t>(1.5 µg/kg bw/day)</w:t>
      </w:r>
      <w:proofErr w:type="gramEnd"/>
      <w:r w:rsidRPr="00EC4740">
        <w:t>.</w:t>
      </w:r>
      <w:r>
        <w:t xml:space="preserve"> </w:t>
      </w:r>
      <w:r w:rsidR="005B2766" w:rsidRPr="005B2766">
        <w:t xml:space="preserve">For </w:t>
      </w:r>
      <w:r w:rsidR="005B2766">
        <w:t xml:space="preserve">many of </w:t>
      </w:r>
      <w:r w:rsidR="005B2766" w:rsidRPr="005B2766">
        <w:t>the chemicals with estimated dietary exposure</w:t>
      </w:r>
      <w:r w:rsidR="00311211">
        <w:t>s</w:t>
      </w:r>
      <w:r w:rsidR="005B2766" w:rsidRPr="005B2766">
        <w:t xml:space="preserve"> exceeding their respective TTC thresholds, specific toxicity data were located in various databases and the published literature that support the safety of those chemicals</w:t>
      </w:r>
      <w:r w:rsidR="005B2766">
        <w:t>.</w:t>
      </w:r>
      <w:r w:rsidR="005B2766" w:rsidRPr="005B2766">
        <w:t xml:space="preserve"> </w:t>
      </w:r>
      <w:r w:rsidR="00FD272F" w:rsidRPr="00FD272F">
        <w:t xml:space="preserve">For </w:t>
      </w:r>
      <w:r w:rsidR="002A55C4">
        <w:t xml:space="preserve">some </w:t>
      </w:r>
      <w:r w:rsidR="00FD272F">
        <w:t xml:space="preserve">packaging chemicals, </w:t>
      </w:r>
      <w:r w:rsidR="00FD272F" w:rsidRPr="00FD272F">
        <w:t xml:space="preserve">supporting toxicity data </w:t>
      </w:r>
      <w:r w:rsidR="00FD272F">
        <w:t>may not be publically available</w:t>
      </w:r>
      <w:r w:rsidR="00FD272F" w:rsidRPr="00FD272F">
        <w:t xml:space="preserve">, </w:t>
      </w:r>
      <w:r w:rsidR="00FD272F">
        <w:t xml:space="preserve">or toxicity data on structurally related substances </w:t>
      </w:r>
      <w:r w:rsidR="002A55C4">
        <w:t>was</w:t>
      </w:r>
      <w:r w:rsidR="00FD272F">
        <w:t xml:space="preserve"> used </w:t>
      </w:r>
      <w:r w:rsidR="00FD272F" w:rsidRPr="00FD272F">
        <w:t>for safety assessment</w:t>
      </w:r>
      <w:r w:rsidR="00FD272F">
        <w:t>.</w:t>
      </w:r>
    </w:p>
    <w:p w14:paraId="4772AF54" w14:textId="77777777" w:rsidR="00FD272F" w:rsidRDefault="00FD272F" w:rsidP="00531EBC"/>
    <w:p w14:paraId="55582BA4" w14:textId="320E801B" w:rsidR="00531EBC" w:rsidRDefault="00531EBC" w:rsidP="00531EBC">
      <w:r>
        <w:t xml:space="preserve">A conclusion of low risk resulting from the </w:t>
      </w:r>
      <w:r w:rsidR="00311211">
        <w:t xml:space="preserve">above </w:t>
      </w:r>
      <w:r>
        <w:t xml:space="preserve">analysis is consistent with the findings of analytical surveys investigating the presence of specific packaging chemicals in Australian foods. However, FSANZ has identified two chemicals for which additional food concentration data are required </w:t>
      </w:r>
      <w:r w:rsidRPr="006E2984">
        <w:t>in order to determine if dietary exposure to these chemicals poses a health risk.</w:t>
      </w:r>
      <w:r>
        <w:t xml:space="preserve"> These two chemicals, DEHP and DINP, belong to the phthalate family of compounds, some members of which migrate efficiently into foods.</w:t>
      </w:r>
      <w:r w:rsidRPr="006E2984">
        <w:t xml:space="preserve"> </w:t>
      </w:r>
      <w:r>
        <w:t>FSANZ is currently conducting a study to acquire data on DEHP and DINP levels in a wider range of foods.</w:t>
      </w:r>
    </w:p>
    <w:p w14:paraId="44EF6BF3" w14:textId="77777777" w:rsidR="00303032" w:rsidRDefault="00303032" w:rsidP="00531EBC"/>
    <w:p w14:paraId="41D078E9" w14:textId="698110FD" w:rsidR="00497D92" w:rsidRDefault="00303032" w:rsidP="00531EBC">
      <w:r>
        <w:t>The 24</w:t>
      </w:r>
      <w:r w:rsidRPr="00822BA2">
        <w:rPr>
          <w:vertAlign w:val="superscript"/>
        </w:rPr>
        <w:t>th</w:t>
      </w:r>
      <w:r w:rsidR="000C0731">
        <w:t xml:space="preserve"> </w:t>
      </w:r>
      <w:r>
        <w:t>ATDS also found three phthalates not on the EU or US lists of approved food substances</w:t>
      </w:r>
      <w:r w:rsidR="00E76ACC">
        <w:t xml:space="preserve">. </w:t>
      </w:r>
      <w:r>
        <w:t>However, based on the low levels of detection the risk was assessed to be negligible (using conservative dietary modelling).</w:t>
      </w:r>
    </w:p>
    <w:p w14:paraId="041E0689" w14:textId="77777777" w:rsidR="00303032" w:rsidRDefault="00303032" w:rsidP="00531EBC"/>
    <w:p w14:paraId="6A5B9138" w14:textId="50FC5257" w:rsidR="008E154A" w:rsidRDefault="008E154A" w:rsidP="008E154A">
      <w:r>
        <w:t>The potential risk from t</w:t>
      </w:r>
      <w:r w:rsidRPr="00264608">
        <w:t xml:space="preserve">he </w:t>
      </w:r>
      <w:r>
        <w:t>migration into food of chemicals in recycled paperboard, particularly</w:t>
      </w:r>
      <w:r w:rsidRPr="00264608">
        <w:t xml:space="preserve"> mine</w:t>
      </w:r>
      <w:r>
        <w:t xml:space="preserve">ral oils, </w:t>
      </w:r>
      <w:r w:rsidRPr="00264608">
        <w:t xml:space="preserve">is not yet well characterised and </w:t>
      </w:r>
      <w:r>
        <w:t>research is ongoing internationally. FSANZ has recently conducted an analytical survey of mineral oils in packaging materials and packaged food purchased in Australia. The survey did not find widespread migration of mineral oi</w:t>
      </w:r>
      <w:r w:rsidR="008461B4">
        <w:t>ls into food products or identif</w:t>
      </w:r>
      <w:r>
        <w:t>y any specific public health and safety concerns.</w:t>
      </w:r>
    </w:p>
    <w:p w14:paraId="2C259AA0" w14:textId="3B78E814" w:rsidR="007A0E6E" w:rsidRDefault="007A0E6E" w:rsidP="008E154A"/>
    <w:p w14:paraId="45BAF3BE" w14:textId="39119885" w:rsidR="007A0E6E" w:rsidRDefault="007A0E6E" w:rsidP="007A0E6E">
      <w:r>
        <w:t xml:space="preserve">If there was a new emerging risk </w:t>
      </w:r>
      <w:r w:rsidR="00FA2370">
        <w:t xml:space="preserve">associated with </w:t>
      </w:r>
      <w:r>
        <w:t xml:space="preserve">CMPF (for example, a packaging chemical not regulated in another countries’ regulations being found present in food in Australia or New Zealand or an undefined intermediary chemical formed during a packaging recycling process) then this becomes an </w:t>
      </w:r>
      <w:r w:rsidR="00F048DA">
        <w:t>‘</w:t>
      </w:r>
      <w:r>
        <w:t>unknown</w:t>
      </w:r>
      <w:r w:rsidR="00990832">
        <w:t>’</w:t>
      </w:r>
      <w:r>
        <w:t xml:space="preserve"> risk</w:t>
      </w:r>
      <w:r w:rsidR="00F048DA">
        <w:t>’</w:t>
      </w:r>
      <w:r w:rsidR="00B64064">
        <w:rPr>
          <w:rStyle w:val="FootnoteReference"/>
        </w:rPr>
        <w:footnoteReference w:id="8"/>
      </w:r>
      <w:r>
        <w:t xml:space="preserve">. </w:t>
      </w:r>
    </w:p>
    <w:p w14:paraId="30259B36" w14:textId="77777777" w:rsidR="007A0E6E" w:rsidRDefault="007A0E6E" w:rsidP="007A0E6E"/>
    <w:p w14:paraId="212FA27A" w14:textId="20AE626B" w:rsidR="007A0E6E" w:rsidRDefault="001F625D" w:rsidP="007A0E6E">
      <w:r>
        <w:t>A</w:t>
      </w:r>
      <w:r w:rsidR="007A0E6E">
        <w:t xml:space="preserve"> future mechanism to capture and characterise these </w:t>
      </w:r>
      <w:r w:rsidR="007A0E6E" w:rsidRPr="007B65CB">
        <w:t>unknown risks</w:t>
      </w:r>
      <w:r w:rsidR="007A0E6E">
        <w:t xml:space="preserve"> </w:t>
      </w:r>
      <w:r>
        <w:t>c</w:t>
      </w:r>
      <w:r w:rsidR="007A0E6E">
        <w:t xml:space="preserve">ould be to implement an ongoing monitoring and surveillance strategy for chemicals that may arise from these potential risk areas, liaise with industry on what risk mitigation measures may be in place, and then reapply the </w:t>
      </w:r>
      <w:r w:rsidR="00C8711E">
        <w:t xml:space="preserve">residual risk </w:t>
      </w:r>
      <w:r w:rsidR="007A0E6E">
        <w:t xml:space="preserve">decision tree </w:t>
      </w:r>
      <w:r w:rsidR="00C8711E">
        <w:t xml:space="preserve">(see </w:t>
      </w:r>
      <w:r w:rsidR="001E5BCE">
        <w:t>Figure</w:t>
      </w:r>
      <w:r w:rsidR="00C8711E">
        <w:t xml:space="preserve"> 1 below) </w:t>
      </w:r>
      <w:r w:rsidR="007A0E6E">
        <w:t xml:space="preserve">to </w:t>
      </w:r>
      <w:r w:rsidR="00C8711E">
        <w:t>consider the most appropriate</w:t>
      </w:r>
      <w:r w:rsidR="00C14D59">
        <w:t xml:space="preserve"> option</w:t>
      </w:r>
      <w:r w:rsidR="00C8711E">
        <w:t>(s) to manage</w:t>
      </w:r>
      <w:r w:rsidR="007A0E6E">
        <w:t xml:space="preserve"> these identified risks.</w:t>
      </w:r>
    </w:p>
    <w:p w14:paraId="38C6FA1B" w14:textId="2E22907B" w:rsidR="00922310" w:rsidRDefault="00922310" w:rsidP="007A0E6E"/>
    <w:p w14:paraId="15AADCD9" w14:textId="3490842E" w:rsidR="007B65CB" w:rsidRPr="007B65CB" w:rsidRDefault="007B65CB" w:rsidP="00462A77">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B65CB">
        <w:rPr>
          <w:b/>
        </w:rPr>
        <w:t>Question:</w:t>
      </w:r>
    </w:p>
    <w:p w14:paraId="56E71F5D" w14:textId="77777777" w:rsidR="007B65CB" w:rsidRDefault="007B65CB" w:rsidP="00462A77">
      <w:pPr>
        <w:pBdr>
          <w:top w:val="single" w:sz="4" w:space="1" w:color="auto"/>
          <w:left w:val="single" w:sz="4" w:space="4" w:color="auto"/>
          <w:bottom w:val="single" w:sz="4" w:space="1" w:color="auto"/>
          <w:right w:val="single" w:sz="4" w:space="4" w:color="auto"/>
        </w:pBdr>
        <w:shd w:val="clear" w:color="auto" w:fill="EAF1DD" w:themeFill="accent3" w:themeFillTint="33"/>
      </w:pPr>
    </w:p>
    <w:p w14:paraId="3609B99D" w14:textId="1FD801CD" w:rsidR="00922310" w:rsidRDefault="00922310" w:rsidP="00462A77">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pPr>
      <w:r>
        <w:t>Q</w:t>
      </w:r>
      <w:r w:rsidR="007B65CB">
        <w:t>1</w:t>
      </w:r>
      <w:r w:rsidR="000C0731">
        <w:tab/>
      </w:r>
      <w:r w:rsidR="00887597">
        <w:t>Do you consider that an ongoing monitoring and surveillance strategy</w:t>
      </w:r>
      <w:r w:rsidR="00EE5839">
        <w:t xml:space="preserve">, possibly </w:t>
      </w:r>
      <w:r w:rsidR="00E31D79">
        <w:t xml:space="preserve">by </w:t>
      </w:r>
      <w:r w:rsidR="00E31D79" w:rsidRPr="00922310">
        <w:t>jurisdictions</w:t>
      </w:r>
      <w:r w:rsidR="00EE5839">
        <w:t xml:space="preserve"> responsible for enforcement</w:t>
      </w:r>
      <w:r w:rsidR="008D45BF">
        <w:t xml:space="preserve"> and</w:t>
      </w:r>
      <w:r w:rsidR="00EE5839">
        <w:t xml:space="preserve"> compliance of food laws</w:t>
      </w:r>
      <w:r w:rsidR="00DD4395">
        <w:rPr>
          <w:rStyle w:val="FootnoteReference"/>
        </w:rPr>
        <w:footnoteReference w:id="9"/>
      </w:r>
      <w:r w:rsidR="00EE5839">
        <w:t xml:space="preserve"> </w:t>
      </w:r>
      <w:r w:rsidR="00887597">
        <w:t xml:space="preserve">would </w:t>
      </w:r>
      <w:r w:rsidR="004E6854">
        <w:t xml:space="preserve">be </w:t>
      </w:r>
      <w:r w:rsidRPr="00922310">
        <w:t xml:space="preserve">a practical measure to </w:t>
      </w:r>
      <w:r w:rsidR="00C040E8">
        <w:t xml:space="preserve">identify and </w:t>
      </w:r>
      <w:r w:rsidRPr="00922310">
        <w:t>manage unknown risks</w:t>
      </w:r>
      <w:r w:rsidR="00887597">
        <w:t xml:space="preserve"> associated with CMPF</w:t>
      </w:r>
      <w:r>
        <w:t>?</w:t>
      </w:r>
      <w:r w:rsidR="00CC78EB">
        <w:t xml:space="preserve"> </w:t>
      </w:r>
    </w:p>
    <w:p w14:paraId="246A0F57" w14:textId="38F05F28" w:rsidR="006A49EA" w:rsidRDefault="00497D92" w:rsidP="008E154A">
      <w:pPr>
        <w:pStyle w:val="Heading3"/>
      </w:pPr>
      <w:bookmarkStart w:id="41" w:name="_Toc452645329"/>
      <w:r>
        <w:lastRenderedPageBreak/>
        <w:t>2</w:t>
      </w:r>
      <w:r w:rsidR="00D854AE">
        <w:t>.</w:t>
      </w:r>
      <w:r w:rsidR="00CB36C3">
        <w:t>2</w:t>
      </w:r>
      <w:r w:rsidR="00D854AE">
        <w:t>.</w:t>
      </w:r>
      <w:r w:rsidR="00103610">
        <w:t>2</w:t>
      </w:r>
      <w:r w:rsidR="00D854AE">
        <w:tab/>
      </w:r>
      <w:r w:rsidR="006A49EA">
        <w:t>Analysis of control measures and market information</w:t>
      </w:r>
      <w:bookmarkEnd w:id="41"/>
    </w:p>
    <w:p w14:paraId="29481AA6" w14:textId="316DC03B" w:rsidR="00C24927" w:rsidRDefault="001834B3" w:rsidP="008F3892">
      <w:r>
        <w:rPr>
          <w:rFonts w:eastAsiaTheme="minorHAnsi" w:cstheme="minorBidi"/>
          <w:szCs w:val="22"/>
        </w:rPr>
        <w:t>Analysis of</w:t>
      </w:r>
      <w:r w:rsidR="00596300">
        <w:rPr>
          <w:rFonts w:eastAsiaTheme="minorHAnsi" w:cstheme="minorBidi"/>
          <w:szCs w:val="22"/>
        </w:rPr>
        <w:t xml:space="preserve"> control measures </w:t>
      </w:r>
      <w:r w:rsidR="00031393">
        <w:rPr>
          <w:rFonts w:eastAsiaTheme="minorHAnsi" w:cstheme="minorBidi"/>
          <w:szCs w:val="22"/>
        </w:rPr>
        <w:t xml:space="preserve">used by industry </w:t>
      </w:r>
      <w:r w:rsidR="00596300">
        <w:rPr>
          <w:rFonts w:eastAsiaTheme="minorHAnsi" w:cstheme="minorBidi"/>
          <w:szCs w:val="22"/>
        </w:rPr>
        <w:t>and market information</w:t>
      </w:r>
      <w:r>
        <w:rPr>
          <w:rFonts w:eastAsiaTheme="minorHAnsi" w:cstheme="minorBidi"/>
          <w:szCs w:val="22"/>
        </w:rPr>
        <w:t xml:space="preserve"> was achieved through</w:t>
      </w:r>
      <w:r w:rsidR="00596300">
        <w:rPr>
          <w:rFonts w:eastAsiaTheme="minorHAnsi" w:cstheme="minorBidi"/>
          <w:szCs w:val="22"/>
        </w:rPr>
        <w:t xml:space="preserve"> preliminary investigations </w:t>
      </w:r>
      <w:r>
        <w:rPr>
          <w:rFonts w:eastAsiaTheme="minorHAnsi" w:cstheme="minorBidi"/>
          <w:szCs w:val="22"/>
        </w:rPr>
        <w:t>to gain an understanding of</w:t>
      </w:r>
      <w:r w:rsidR="008F3892">
        <w:rPr>
          <w:rFonts w:eastAsiaTheme="minorHAnsi" w:cstheme="minorBidi"/>
          <w:szCs w:val="22"/>
        </w:rPr>
        <w:t xml:space="preserve"> the </w:t>
      </w:r>
      <w:r w:rsidR="008F3892">
        <w:t>complex packaging supply chain</w:t>
      </w:r>
      <w:r w:rsidR="00596300">
        <w:t>, spanning from raw material inputs through to the sale of packaged food to the consumer.</w:t>
      </w:r>
      <w:r w:rsidR="008F3892">
        <w:t xml:space="preserve"> </w:t>
      </w:r>
      <w:r w:rsidR="00596300">
        <w:t xml:space="preserve">This information </w:t>
      </w:r>
      <w:r w:rsidR="008F3892">
        <w:t>was presented in FSANZ’s first consultation paper</w:t>
      </w:r>
      <w:r w:rsidR="00596300">
        <w:rPr>
          <w:rStyle w:val="FootnoteReference"/>
        </w:rPr>
        <w:footnoteReference w:id="10"/>
      </w:r>
      <w:r w:rsidR="00822BA2">
        <w:t xml:space="preserve">. </w:t>
      </w:r>
      <w:r w:rsidR="00596300">
        <w:t xml:space="preserve">Supporting documents to this paper also </w:t>
      </w:r>
      <w:r w:rsidR="006B527E">
        <w:t>relayed the different control measures used by industry to address CMPF,</w:t>
      </w:r>
      <w:r w:rsidR="00596300">
        <w:t xml:space="preserve"> including regulatory and non-regulatory measures</w:t>
      </w:r>
      <w:r w:rsidR="0016465A">
        <w:rPr>
          <w:rStyle w:val="FootnoteReference"/>
        </w:rPr>
        <w:footnoteReference w:id="11"/>
      </w:r>
      <w:r w:rsidR="00462A77">
        <w:t xml:space="preserve">. </w:t>
      </w:r>
      <w:r w:rsidR="00E76ACC">
        <w:t xml:space="preserve"> </w:t>
      </w:r>
    </w:p>
    <w:p w14:paraId="1A0971F2" w14:textId="77777777" w:rsidR="00C24927" w:rsidRDefault="00C24927" w:rsidP="008F3892"/>
    <w:p w14:paraId="5AC6AFBF" w14:textId="497D4E77" w:rsidR="00C24927" w:rsidRDefault="00D9772A" w:rsidP="008F3892">
      <w:pPr>
        <w:rPr>
          <w:szCs w:val="22"/>
        </w:rPr>
      </w:pPr>
      <w:r>
        <w:t>Recycling of packaging is also an increasingly important component of the packaging supply chain as products are re-processed into new products that are then sold back into the consumer economy</w:t>
      </w:r>
      <w:r w:rsidR="00E76ACC">
        <w:t xml:space="preserve">. </w:t>
      </w:r>
      <w:r w:rsidR="00C24927">
        <w:rPr>
          <w:szCs w:val="22"/>
        </w:rPr>
        <w:t>Signatories to</w:t>
      </w:r>
      <w:r w:rsidR="00C24927">
        <w:t xml:space="preserve"> t</w:t>
      </w:r>
      <w:r w:rsidR="00070C65">
        <w:t xml:space="preserve">he Australian Packaging </w:t>
      </w:r>
      <w:r w:rsidR="00C24927">
        <w:t>Covenant</w:t>
      </w:r>
      <w:r w:rsidR="00FD346D">
        <w:t xml:space="preserve"> (APC)</w:t>
      </w:r>
      <w:r w:rsidR="00FD346D">
        <w:rPr>
          <w:rStyle w:val="FootnoteReference"/>
        </w:rPr>
        <w:footnoteReference w:id="12"/>
      </w:r>
      <w:r w:rsidR="00C24927">
        <w:t xml:space="preserve"> are required to </w:t>
      </w:r>
      <w:r w:rsidR="00C24927">
        <w:rPr>
          <w:szCs w:val="22"/>
        </w:rPr>
        <w:t>commit to developing and implementing a policy to buy products and packaging containing recycled content</w:t>
      </w:r>
      <w:r w:rsidR="00E76ACC">
        <w:rPr>
          <w:szCs w:val="22"/>
        </w:rPr>
        <w:t xml:space="preserve">. </w:t>
      </w:r>
      <w:r w:rsidR="00C24927">
        <w:t>R</w:t>
      </w:r>
      <w:r w:rsidR="00070C65">
        <w:t>ecycled packaging m</w:t>
      </w:r>
      <w:r w:rsidR="00C24927">
        <w:t>ay be sourced domestically or from overseas and potentially may be of unknown recycled content</w:t>
      </w:r>
      <w:r w:rsidR="001834B3">
        <w:t>. H</w:t>
      </w:r>
      <w:r w:rsidR="00E37211">
        <w:t>owever APC</w:t>
      </w:r>
      <w:r w:rsidR="00C24927">
        <w:t xml:space="preserve"> policy requires that signatories to the covenant need to </w:t>
      </w:r>
      <w:r w:rsidR="00FD346D">
        <w:t xml:space="preserve">also </w:t>
      </w:r>
      <w:r w:rsidR="00C24927">
        <w:t xml:space="preserve">meet safety requirements and </w:t>
      </w:r>
      <w:r w:rsidR="00C24927">
        <w:rPr>
          <w:szCs w:val="22"/>
        </w:rPr>
        <w:t>determine if recycled content is appropriate for proposed use</w:t>
      </w:r>
      <w:r w:rsidR="00C24927" w:rsidRPr="00C24927">
        <w:rPr>
          <w:szCs w:val="22"/>
        </w:rPr>
        <w:t xml:space="preserve"> </w:t>
      </w:r>
      <w:r w:rsidR="00C24927">
        <w:rPr>
          <w:szCs w:val="22"/>
        </w:rPr>
        <w:t>in food packaging</w:t>
      </w:r>
      <w:r w:rsidR="00C24927">
        <w:rPr>
          <w:rStyle w:val="FootnoteReference"/>
          <w:szCs w:val="22"/>
        </w:rPr>
        <w:t xml:space="preserve"> </w:t>
      </w:r>
      <w:r w:rsidR="00C24927">
        <w:rPr>
          <w:rStyle w:val="FootnoteReference"/>
          <w:szCs w:val="22"/>
        </w:rPr>
        <w:footnoteReference w:id="13"/>
      </w:r>
      <w:r w:rsidR="00C24927">
        <w:rPr>
          <w:szCs w:val="22"/>
        </w:rPr>
        <w:t xml:space="preserve">. </w:t>
      </w:r>
    </w:p>
    <w:p w14:paraId="3F5BD111" w14:textId="77777777" w:rsidR="00FD346D" w:rsidRDefault="00FD346D" w:rsidP="006A49EA">
      <w:pPr>
        <w:rPr>
          <w:rFonts w:eastAsiaTheme="minorHAnsi" w:cstheme="minorBidi"/>
          <w:szCs w:val="22"/>
        </w:rPr>
      </w:pPr>
    </w:p>
    <w:p w14:paraId="13DB49C9" w14:textId="71250820" w:rsidR="006A49EA" w:rsidRPr="008F584D" w:rsidRDefault="00FD346D" w:rsidP="006A49EA">
      <w:pPr>
        <w:rPr>
          <w:rFonts w:eastAsiaTheme="minorHAnsi" w:cstheme="minorBidi"/>
          <w:szCs w:val="22"/>
        </w:rPr>
      </w:pPr>
      <w:r>
        <w:rPr>
          <w:rFonts w:eastAsiaTheme="minorHAnsi" w:cstheme="minorBidi"/>
          <w:szCs w:val="22"/>
        </w:rPr>
        <w:t>C</w:t>
      </w:r>
      <w:r w:rsidR="006A49EA" w:rsidRPr="008F584D">
        <w:rPr>
          <w:rFonts w:eastAsiaTheme="minorHAnsi" w:cstheme="minorBidi"/>
          <w:szCs w:val="22"/>
        </w:rPr>
        <w:t>onsultation with a broad range of industry stakeholders</w:t>
      </w:r>
      <w:r w:rsidR="006A49EA" w:rsidRPr="008F584D">
        <w:rPr>
          <w:rFonts w:eastAsiaTheme="minorHAnsi" w:cstheme="minorBidi"/>
          <w:szCs w:val="22"/>
          <w:vertAlign w:val="superscript"/>
        </w:rPr>
        <w:footnoteReference w:id="14"/>
      </w:r>
      <w:r w:rsidR="006A49EA" w:rsidRPr="008F584D">
        <w:rPr>
          <w:rFonts w:eastAsiaTheme="minorHAnsi" w:cstheme="minorBidi"/>
          <w:szCs w:val="22"/>
        </w:rPr>
        <w:t xml:space="preserve"> informed the </w:t>
      </w:r>
      <w:r w:rsidR="0024148B">
        <w:rPr>
          <w:rFonts w:eastAsiaTheme="minorHAnsi" w:cstheme="minorBidi"/>
          <w:szCs w:val="22"/>
        </w:rPr>
        <w:t>analysis</w:t>
      </w:r>
      <w:r w:rsidR="006A49EA" w:rsidRPr="008F584D">
        <w:rPr>
          <w:rFonts w:eastAsiaTheme="minorHAnsi" w:cstheme="minorBidi"/>
          <w:szCs w:val="22"/>
        </w:rPr>
        <w:t xml:space="preserve"> of the range of control measures and </w:t>
      </w:r>
      <w:r w:rsidR="0024148B">
        <w:rPr>
          <w:rFonts w:eastAsiaTheme="minorHAnsi" w:cstheme="minorBidi"/>
          <w:szCs w:val="22"/>
        </w:rPr>
        <w:t xml:space="preserve">their </w:t>
      </w:r>
      <w:r w:rsidR="006A49EA" w:rsidRPr="008F584D">
        <w:rPr>
          <w:rFonts w:eastAsiaTheme="minorHAnsi" w:cstheme="minorBidi"/>
          <w:szCs w:val="22"/>
        </w:rPr>
        <w:t>uptake by different in</w:t>
      </w:r>
      <w:r w:rsidR="006A49EA">
        <w:rPr>
          <w:rFonts w:eastAsiaTheme="minorHAnsi" w:cstheme="minorBidi"/>
          <w:szCs w:val="22"/>
        </w:rPr>
        <w:t>dustry sectors to control CMPF (</w:t>
      </w:r>
      <w:r w:rsidR="00B37327">
        <w:rPr>
          <w:rFonts w:eastAsiaTheme="minorHAnsi" w:cstheme="minorBidi"/>
          <w:szCs w:val="22"/>
        </w:rPr>
        <w:t xml:space="preserve">refer to </w:t>
      </w:r>
      <w:r w:rsidR="0072759C">
        <w:rPr>
          <w:rFonts w:eastAsiaTheme="minorHAnsi" w:cstheme="minorBidi"/>
          <w:szCs w:val="22"/>
        </w:rPr>
        <w:t>SD4</w:t>
      </w:r>
      <w:r w:rsidR="006A49EA">
        <w:rPr>
          <w:rFonts w:eastAsiaTheme="minorHAnsi" w:cstheme="minorBidi"/>
          <w:szCs w:val="22"/>
        </w:rPr>
        <w:t>).</w:t>
      </w:r>
    </w:p>
    <w:p w14:paraId="5EAA5AF1" w14:textId="77777777" w:rsidR="006A49EA" w:rsidRPr="008F584D" w:rsidRDefault="006A49EA" w:rsidP="006A49EA">
      <w:pPr>
        <w:rPr>
          <w:rFonts w:eastAsiaTheme="minorHAnsi" w:cstheme="minorBidi"/>
          <w:szCs w:val="22"/>
        </w:rPr>
      </w:pPr>
      <w:r w:rsidRPr="008F584D">
        <w:rPr>
          <w:rFonts w:eastAsiaTheme="minorHAnsi" w:cstheme="minorBidi"/>
          <w:szCs w:val="22"/>
        </w:rPr>
        <w:t xml:space="preserve">  </w:t>
      </w:r>
    </w:p>
    <w:p w14:paraId="486FAEDC" w14:textId="01A41393" w:rsidR="006A49EA" w:rsidRPr="008F584D" w:rsidRDefault="006A49EA" w:rsidP="006A49EA">
      <w:pPr>
        <w:rPr>
          <w:rFonts w:eastAsiaTheme="minorHAnsi" w:cstheme="minorBidi"/>
          <w:szCs w:val="22"/>
        </w:rPr>
      </w:pPr>
      <w:r w:rsidRPr="008F584D">
        <w:rPr>
          <w:rFonts w:eastAsiaTheme="minorHAnsi" w:cstheme="minorBidi"/>
          <w:szCs w:val="22"/>
        </w:rPr>
        <w:t xml:space="preserve">Key observations from the analysis </w:t>
      </w:r>
      <w:r w:rsidR="0024148B">
        <w:rPr>
          <w:rFonts w:eastAsiaTheme="minorHAnsi" w:cstheme="minorBidi"/>
          <w:szCs w:val="22"/>
        </w:rPr>
        <w:t>of control measures</w:t>
      </w:r>
      <w:r w:rsidR="00B37327">
        <w:rPr>
          <w:rFonts w:eastAsiaTheme="minorHAnsi" w:cstheme="minorBidi"/>
          <w:szCs w:val="22"/>
        </w:rPr>
        <w:t xml:space="preserve"> and market information</w:t>
      </w:r>
      <w:r w:rsidR="0024148B">
        <w:rPr>
          <w:rFonts w:eastAsiaTheme="minorHAnsi" w:cstheme="minorBidi"/>
          <w:szCs w:val="22"/>
        </w:rPr>
        <w:t xml:space="preserve"> </w:t>
      </w:r>
      <w:r w:rsidRPr="008F584D">
        <w:rPr>
          <w:rFonts w:eastAsiaTheme="minorHAnsi" w:cstheme="minorBidi"/>
          <w:szCs w:val="22"/>
        </w:rPr>
        <w:t>indicate that:</w:t>
      </w:r>
    </w:p>
    <w:p w14:paraId="7F94098E" w14:textId="77777777" w:rsidR="006A49EA" w:rsidRPr="008F584D" w:rsidRDefault="006A49EA" w:rsidP="006A49EA">
      <w:pPr>
        <w:rPr>
          <w:rFonts w:eastAsiaTheme="minorHAnsi" w:cstheme="minorBidi"/>
          <w:szCs w:val="22"/>
        </w:rPr>
      </w:pPr>
    </w:p>
    <w:p w14:paraId="0C4667B5" w14:textId="1BED9CD5" w:rsidR="0024148B" w:rsidRDefault="0024148B" w:rsidP="00822BA2">
      <w:pPr>
        <w:pStyle w:val="FSBullet1"/>
      </w:pPr>
      <w:r w:rsidRPr="00474806">
        <w:t xml:space="preserve">In general, the closer to the point of sale in the packaging supply chain the business is, the more general the food safety control measures used. In other words, packaging </w:t>
      </w:r>
      <w:r>
        <w:t>businesses</w:t>
      </w:r>
      <w:r>
        <w:rPr>
          <w:rStyle w:val="FootnoteReference"/>
        </w:rPr>
        <w:footnoteReference w:id="15"/>
      </w:r>
      <w:r w:rsidRPr="00474806">
        <w:t xml:space="preserve"> </w:t>
      </w:r>
      <w:r>
        <w:t xml:space="preserve">show good awareness and uptake of </w:t>
      </w:r>
      <w:r w:rsidRPr="00474806">
        <w:t xml:space="preserve">international packaging regulations whereas food manufacturers </w:t>
      </w:r>
      <w:r>
        <w:t xml:space="preserve">in general, are less aware of international regulations for packaging and indicated that they </w:t>
      </w:r>
      <w:r w:rsidR="003C4650">
        <w:t xml:space="preserve">mainly only </w:t>
      </w:r>
      <w:r w:rsidRPr="00474806">
        <w:t xml:space="preserve">refer to </w:t>
      </w:r>
      <w:r w:rsidR="00857B61">
        <w:t xml:space="preserve">Australian/New Zealand </w:t>
      </w:r>
      <w:r w:rsidRPr="00474806">
        <w:t xml:space="preserve">food regulations. For example, more than 85% of raw material suppliers and packaging manufacturers reported that they </w:t>
      </w:r>
      <w:r w:rsidR="009B16F0">
        <w:t xml:space="preserve">voluntarily </w:t>
      </w:r>
      <w:r w:rsidRPr="00474806">
        <w:t xml:space="preserve">comply with EU and US packaging regulations </w:t>
      </w:r>
      <w:r w:rsidR="009B16F0">
        <w:t xml:space="preserve">(which are not binding in Australia or New Zealand) </w:t>
      </w:r>
      <w:r w:rsidRPr="00474806">
        <w:t>whereas only 40-50% of food manufacturers refer to these regulations.</w:t>
      </w:r>
    </w:p>
    <w:p w14:paraId="63CE3FA4" w14:textId="77777777" w:rsidR="00857B61" w:rsidRPr="00857B61" w:rsidRDefault="00857B61" w:rsidP="00822BA2">
      <w:pPr>
        <w:pStyle w:val="FSBullet1"/>
        <w:numPr>
          <w:ilvl w:val="0"/>
          <w:numId w:val="0"/>
        </w:numPr>
        <w:ind w:left="567"/>
      </w:pPr>
    </w:p>
    <w:p w14:paraId="04054C18" w14:textId="4C95CA33" w:rsidR="0024148B" w:rsidRDefault="00857B61" w:rsidP="00811C0B">
      <w:pPr>
        <w:pStyle w:val="FSBullet1"/>
      </w:pPr>
      <w:r>
        <w:t>Raw material suppliers and packaging manufacturers also showed good uptake of non-regulatory measures such as specific packaging industry standards, Codes of Practice and adherence to Good Manufacturing Practices (GMP).</w:t>
      </w:r>
    </w:p>
    <w:p w14:paraId="59754080" w14:textId="77777777" w:rsidR="00857B61" w:rsidRPr="00857B61" w:rsidRDefault="00857B61" w:rsidP="00857B61"/>
    <w:p w14:paraId="68A6AC4E" w14:textId="3429C8A1" w:rsidR="00857B61" w:rsidRPr="00811C0B" w:rsidRDefault="00857B61" w:rsidP="00811C0B">
      <w:pPr>
        <w:pStyle w:val="FSBullet1"/>
      </w:pPr>
      <w:r w:rsidRPr="00811C0B">
        <w:t>Food manufacturers, retailers and other food businesses showed a preference for uptake of less specific non-regulatory measures (e</w:t>
      </w:r>
      <w:r w:rsidR="007251CA" w:rsidRPr="00811C0B">
        <w:t>.</w:t>
      </w:r>
      <w:r w:rsidRPr="00811C0B">
        <w:t xml:space="preserve">g. </w:t>
      </w:r>
      <w:r w:rsidR="001834B3" w:rsidRPr="00811C0B">
        <w:t>International Organization for Standardization (ISO)</w:t>
      </w:r>
      <w:r w:rsidRPr="00811C0B">
        <w:t xml:space="preserve"> standards) and uptake of audited </w:t>
      </w:r>
      <w:r w:rsidR="001834B3" w:rsidRPr="00811C0B">
        <w:t xml:space="preserve">Quality </w:t>
      </w:r>
      <w:r w:rsidRPr="00811C0B">
        <w:t>A</w:t>
      </w:r>
      <w:r w:rsidR="001834B3" w:rsidRPr="00811C0B">
        <w:t>ssurance</w:t>
      </w:r>
      <w:r w:rsidRPr="00811C0B">
        <w:t>/Q</w:t>
      </w:r>
      <w:r w:rsidR="001834B3" w:rsidRPr="00811C0B">
        <w:t xml:space="preserve">uality </w:t>
      </w:r>
      <w:r w:rsidRPr="00811C0B">
        <w:t>C</w:t>
      </w:r>
      <w:r w:rsidR="001834B3" w:rsidRPr="00811C0B">
        <w:t>ontrol</w:t>
      </w:r>
      <w:r w:rsidRPr="00811C0B">
        <w:t xml:space="preserve"> </w:t>
      </w:r>
      <w:r w:rsidR="001834B3" w:rsidRPr="00811C0B">
        <w:t xml:space="preserve">(QA/QC) </w:t>
      </w:r>
      <w:r w:rsidRPr="00811C0B">
        <w:t>systems which may have requirements for packaging documentation.</w:t>
      </w:r>
    </w:p>
    <w:p w14:paraId="61DCCD60" w14:textId="52F75BA2" w:rsidR="00462A77" w:rsidRDefault="00462A77" w:rsidP="00857B61">
      <w:r>
        <w:br w:type="page"/>
      </w:r>
    </w:p>
    <w:p w14:paraId="5A44F72E" w14:textId="49E61278" w:rsidR="0024148B" w:rsidRPr="00474806" w:rsidRDefault="0024148B" w:rsidP="004E6854">
      <w:pPr>
        <w:pStyle w:val="FSBullet1"/>
      </w:pPr>
      <w:r w:rsidRPr="00474806">
        <w:lastRenderedPageBreak/>
        <w:t xml:space="preserve">Through-chain stewardship is a critical factor for food businesses. Use of supplier assurance and ‘trusted’ suppliers was a recurring theme from businesses at the </w:t>
      </w:r>
      <w:r w:rsidR="003C4650">
        <w:t xml:space="preserve">retail </w:t>
      </w:r>
      <w:r w:rsidRPr="00474806">
        <w:t xml:space="preserve">end of the supply chain. </w:t>
      </w:r>
    </w:p>
    <w:p w14:paraId="22CB7DF9" w14:textId="77777777" w:rsidR="0024148B" w:rsidRPr="00474806" w:rsidRDefault="0024148B" w:rsidP="00811C0B"/>
    <w:p w14:paraId="73AC8043" w14:textId="5B2B4EF4" w:rsidR="0024148B" w:rsidRDefault="001E6B7C" w:rsidP="004E6854">
      <w:pPr>
        <w:pStyle w:val="FSBullet1"/>
      </w:pPr>
      <w:r>
        <w:t>S</w:t>
      </w:r>
      <w:r w:rsidR="0024148B">
        <w:t xml:space="preserve">ome food </w:t>
      </w:r>
      <w:r>
        <w:t>businesses</w:t>
      </w:r>
      <w:r w:rsidR="0024148B" w:rsidRPr="00474806">
        <w:t xml:space="preserve">’ </w:t>
      </w:r>
      <w:r>
        <w:t xml:space="preserve">showed negligible or poor </w:t>
      </w:r>
      <w:r w:rsidR="0024148B" w:rsidRPr="00474806">
        <w:t>awareness of CMPF and the application of suitable control measures</w:t>
      </w:r>
      <w:r w:rsidR="00E76ACC">
        <w:t xml:space="preserve">. </w:t>
      </w:r>
      <w:r>
        <w:t>This</w:t>
      </w:r>
      <w:r w:rsidR="0024148B">
        <w:t xml:space="preserve"> appeared to be more evident for </w:t>
      </w:r>
      <w:r w:rsidR="0024148B" w:rsidRPr="00474806">
        <w:t>small to medium enterprises (SMEs).</w:t>
      </w:r>
    </w:p>
    <w:p w14:paraId="3BC17D21" w14:textId="77777777" w:rsidR="0024148B" w:rsidRPr="005C0FC0" w:rsidRDefault="0024148B" w:rsidP="00811C0B"/>
    <w:p w14:paraId="2B54AA0A" w14:textId="77777777" w:rsidR="00D023DA" w:rsidRDefault="0024148B" w:rsidP="004E6854">
      <w:pPr>
        <w:pStyle w:val="FSBullet1"/>
      </w:pPr>
      <w:r w:rsidRPr="00474806">
        <w:t>Businesses would appreciate more guidance on identifying risks from CMPF and determining how they can be managed.</w:t>
      </w:r>
    </w:p>
    <w:p w14:paraId="4671BC21" w14:textId="77777777" w:rsidR="00B37327" w:rsidRPr="00B37327" w:rsidRDefault="00B37327" w:rsidP="00B37327"/>
    <w:p w14:paraId="13F5B9FF" w14:textId="2780D011" w:rsidR="00D023DA" w:rsidRDefault="00B37327" w:rsidP="004E6854">
      <w:pPr>
        <w:pStyle w:val="FSBullet1"/>
      </w:pPr>
      <w:r>
        <w:t xml:space="preserve">Market </w:t>
      </w:r>
      <w:r w:rsidR="003928C7">
        <w:t xml:space="preserve">information </w:t>
      </w:r>
      <w:r>
        <w:t>also points to a small number of packaging manufacturers representing a high market share</w:t>
      </w:r>
      <w:r w:rsidR="00462550">
        <w:rPr>
          <w:rStyle w:val="FootnoteReference"/>
        </w:rPr>
        <w:footnoteReference w:id="16"/>
      </w:r>
      <w:r w:rsidR="00E76ACC">
        <w:t xml:space="preserve">. </w:t>
      </w:r>
      <w:r>
        <w:t xml:space="preserve">This information, together with knowledge gained from surveys on mitigation of risks used by representatives from these businesses, shows </w:t>
      </w:r>
      <w:r w:rsidRPr="00474806">
        <w:t>good consistency of application of control measures</w:t>
      </w:r>
      <w:r>
        <w:t xml:space="preserve"> which in turn </w:t>
      </w:r>
      <w:r w:rsidR="009F3E98">
        <w:t xml:space="preserve">provides </w:t>
      </w:r>
      <w:r w:rsidR="009F3E98" w:rsidRPr="006361AE">
        <w:t>confidence in the</w:t>
      </w:r>
      <w:r w:rsidR="009F3E98">
        <w:t xml:space="preserve"> current implementation of</w:t>
      </w:r>
      <w:r w:rsidR="009F3E98" w:rsidRPr="006361AE">
        <w:t xml:space="preserve"> control measures to prevent or limit CMPF.</w:t>
      </w:r>
    </w:p>
    <w:p w14:paraId="231686CD" w14:textId="77777777" w:rsidR="009F3E98" w:rsidRPr="009F3E98" w:rsidRDefault="009F3E98" w:rsidP="009F3E98"/>
    <w:p w14:paraId="051F11AD" w14:textId="6571ECDD" w:rsidR="00D023DA" w:rsidRDefault="00D023DA" w:rsidP="004E6854">
      <w:pPr>
        <w:pStyle w:val="FSBullet1"/>
      </w:pPr>
      <w:r>
        <w:t xml:space="preserve">An area of unknown risk is the importation of empty packaging from countries where </w:t>
      </w:r>
      <w:r w:rsidRPr="00474806">
        <w:t>control measures may be poor or unknown</w:t>
      </w:r>
      <w:r w:rsidR="00E76ACC">
        <w:t xml:space="preserve">. </w:t>
      </w:r>
      <w:r>
        <w:t xml:space="preserve">This </w:t>
      </w:r>
      <w:r w:rsidR="001E6B7C">
        <w:t xml:space="preserve">could be viewed as </w:t>
      </w:r>
      <w:r>
        <w:t xml:space="preserve">an emerging risk as imports of empty </w:t>
      </w:r>
      <w:r w:rsidRPr="00857B61">
        <w:t>glass, metal, paper, plastic and printing inks have all increased over the past 3 years</w:t>
      </w:r>
      <w:r w:rsidR="00E76ACC">
        <w:t xml:space="preserve">. </w:t>
      </w:r>
      <w:r w:rsidR="001834B3">
        <w:t>That said</w:t>
      </w:r>
      <w:proofErr w:type="gramStart"/>
      <w:r w:rsidR="001834B3">
        <w:t>,</w:t>
      </w:r>
      <w:proofErr w:type="gramEnd"/>
      <w:r w:rsidR="001834B3">
        <w:t xml:space="preserve"> many of the importers of empty packaging are </w:t>
      </w:r>
      <w:r w:rsidR="00E3728F">
        <w:t xml:space="preserve">large </w:t>
      </w:r>
      <w:r w:rsidR="001834B3">
        <w:t>packaging manufacturers with good controls in place.</w:t>
      </w:r>
    </w:p>
    <w:p w14:paraId="5CAA0B5D" w14:textId="28746AEC" w:rsidR="00F424F6" w:rsidRPr="00F424F6" w:rsidRDefault="00F424F6" w:rsidP="00811C0B"/>
    <w:p w14:paraId="0DA75282" w14:textId="64B01218" w:rsidR="000C0731" w:rsidRPr="007B65CB" w:rsidRDefault="000C0731" w:rsidP="000C0731">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B65CB">
        <w:rPr>
          <w:b/>
        </w:rPr>
        <w:t>Question</w:t>
      </w:r>
      <w:r>
        <w:rPr>
          <w:b/>
        </w:rPr>
        <w:t>s</w:t>
      </w:r>
      <w:r w:rsidRPr="007B65CB">
        <w:rPr>
          <w:b/>
        </w:rPr>
        <w:t>:</w:t>
      </w:r>
    </w:p>
    <w:p w14:paraId="38506973" w14:textId="77777777" w:rsidR="007B65CB" w:rsidRDefault="007B65CB" w:rsidP="00316E5D">
      <w:pPr>
        <w:pBdr>
          <w:top w:val="single" w:sz="4" w:space="1" w:color="auto"/>
          <w:left w:val="single" w:sz="4" w:space="4" w:color="auto"/>
          <w:bottom w:val="single" w:sz="4" w:space="1" w:color="auto"/>
          <w:right w:val="single" w:sz="4" w:space="4" w:color="auto"/>
        </w:pBdr>
        <w:shd w:val="clear" w:color="auto" w:fill="EAF1DD" w:themeFill="accent3" w:themeFillTint="33"/>
        <w:rPr>
          <w:rFonts w:cs="Arial"/>
          <w:iCs/>
          <w:szCs w:val="22"/>
          <w:lang w:eastAsia="en-GB" w:bidi="ar-SA"/>
        </w:rPr>
      </w:pPr>
    </w:p>
    <w:p w14:paraId="4D30C73C" w14:textId="3CC9D636" w:rsidR="00D85D4D" w:rsidRPr="00D85D4D" w:rsidRDefault="002C7C0C" w:rsidP="000C0731">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cs="Arial"/>
          <w:iCs/>
          <w:szCs w:val="22"/>
          <w:lang w:eastAsia="en-GB" w:bidi="ar-SA"/>
        </w:rPr>
      </w:pPr>
      <w:r>
        <w:rPr>
          <w:rFonts w:cs="Arial"/>
          <w:iCs/>
          <w:szCs w:val="22"/>
          <w:lang w:eastAsia="en-GB" w:bidi="ar-SA"/>
        </w:rPr>
        <w:t>Q</w:t>
      </w:r>
      <w:r w:rsidR="007B65CB">
        <w:rPr>
          <w:rFonts w:cs="Arial"/>
          <w:iCs/>
          <w:szCs w:val="22"/>
          <w:lang w:eastAsia="en-GB" w:bidi="ar-SA"/>
        </w:rPr>
        <w:t>2</w:t>
      </w:r>
      <w:r w:rsidR="000C0731">
        <w:rPr>
          <w:rFonts w:cs="Arial"/>
          <w:iCs/>
          <w:szCs w:val="22"/>
          <w:lang w:eastAsia="en-GB" w:bidi="ar-SA"/>
        </w:rPr>
        <w:tab/>
      </w:r>
      <w:r w:rsidR="004E6854" w:rsidRPr="004E6854">
        <w:rPr>
          <w:rFonts w:cs="Arial"/>
          <w:iCs/>
          <w:szCs w:val="22"/>
          <w:lang w:eastAsia="en-GB" w:bidi="ar-SA"/>
        </w:rPr>
        <w:t>Do you agree that FSANZ’s analysis of control measures and market information accurately represents how CMPF is being controlled in Australia and New Zealand? If, not please state your reasons</w:t>
      </w:r>
      <w:r w:rsidR="004E6854">
        <w:rPr>
          <w:rFonts w:cs="Arial"/>
          <w:iCs/>
          <w:szCs w:val="22"/>
          <w:lang w:eastAsia="en-GB" w:bidi="ar-SA"/>
        </w:rPr>
        <w:t>?</w:t>
      </w:r>
    </w:p>
    <w:p w14:paraId="3D40639E" w14:textId="77777777" w:rsidR="00D85D4D" w:rsidRPr="00D85D4D" w:rsidRDefault="00D85D4D" w:rsidP="000C0731">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cs="Arial"/>
          <w:iCs/>
          <w:szCs w:val="22"/>
          <w:lang w:eastAsia="en-GB" w:bidi="ar-SA"/>
        </w:rPr>
      </w:pPr>
    </w:p>
    <w:p w14:paraId="50D16D1F" w14:textId="262BAD0F" w:rsidR="00D85D4D" w:rsidRPr="00D85D4D" w:rsidRDefault="002C7C0C" w:rsidP="000C0731">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cs="Arial"/>
          <w:iCs/>
          <w:szCs w:val="22"/>
          <w:lang w:eastAsia="en-GB" w:bidi="ar-SA"/>
        </w:rPr>
      </w:pPr>
      <w:r>
        <w:rPr>
          <w:rFonts w:cs="Arial"/>
          <w:iCs/>
          <w:szCs w:val="22"/>
          <w:lang w:eastAsia="en-GB" w:bidi="ar-SA"/>
        </w:rPr>
        <w:t>Q</w:t>
      </w:r>
      <w:r w:rsidR="007B65CB">
        <w:rPr>
          <w:rFonts w:cs="Arial"/>
          <w:iCs/>
          <w:szCs w:val="22"/>
          <w:lang w:eastAsia="en-GB" w:bidi="ar-SA"/>
        </w:rPr>
        <w:t>3</w:t>
      </w:r>
      <w:r w:rsidR="000C0731">
        <w:rPr>
          <w:rFonts w:cs="Arial"/>
          <w:iCs/>
          <w:szCs w:val="22"/>
          <w:lang w:eastAsia="en-GB" w:bidi="ar-SA"/>
        </w:rPr>
        <w:tab/>
      </w:r>
      <w:r>
        <w:rPr>
          <w:rFonts w:cs="Arial"/>
          <w:iCs/>
          <w:szCs w:val="22"/>
          <w:lang w:eastAsia="en-GB" w:bidi="ar-SA"/>
        </w:rPr>
        <w:t>For</w:t>
      </w:r>
      <w:r w:rsidR="00D85D4D" w:rsidRPr="00D85D4D">
        <w:rPr>
          <w:rFonts w:cs="Arial"/>
          <w:i/>
          <w:iCs/>
          <w:szCs w:val="22"/>
          <w:lang w:eastAsia="en-GB" w:bidi="ar-SA"/>
        </w:rPr>
        <w:t xml:space="preserve"> </w:t>
      </w:r>
      <w:r w:rsidR="00887597" w:rsidRPr="004E6854">
        <w:rPr>
          <w:rFonts w:cs="Arial"/>
          <w:iCs/>
          <w:szCs w:val="22"/>
          <w:lang w:eastAsia="en-GB" w:bidi="ar-SA"/>
        </w:rPr>
        <w:t>any</w:t>
      </w:r>
      <w:r w:rsidR="00887597">
        <w:rPr>
          <w:rFonts w:cs="Arial"/>
          <w:i/>
          <w:iCs/>
          <w:szCs w:val="22"/>
          <w:lang w:eastAsia="en-GB" w:bidi="ar-SA"/>
        </w:rPr>
        <w:t xml:space="preserve"> </w:t>
      </w:r>
      <w:r w:rsidR="00D85D4D" w:rsidRPr="004E6854">
        <w:rPr>
          <w:rFonts w:cs="Arial"/>
          <w:iCs/>
          <w:szCs w:val="22"/>
          <w:lang w:eastAsia="en-GB" w:bidi="ar-SA"/>
        </w:rPr>
        <w:t>industry stakeholders who have yet to respond to FSANZ’s call for information</w:t>
      </w:r>
      <w:r w:rsidR="00D85D4D" w:rsidRPr="00887597">
        <w:rPr>
          <w:rFonts w:cs="Arial"/>
          <w:iCs/>
          <w:szCs w:val="22"/>
          <w:lang w:eastAsia="en-GB" w:bidi="ar-SA"/>
        </w:rPr>
        <w:t>:</w:t>
      </w:r>
      <w:r w:rsidR="00D85D4D" w:rsidRPr="00D85D4D">
        <w:rPr>
          <w:rFonts w:cs="Arial"/>
          <w:iCs/>
          <w:szCs w:val="22"/>
          <w:lang w:eastAsia="en-GB" w:bidi="ar-SA"/>
        </w:rPr>
        <w:t xml:space="preserve">  </w:t>
      </w:r>
    </w:p>
    <w:p w14:paraId="453BA55B" w14:textId="137242FE" w:rsidR="0078404F" w:rsidRPr="00D85D4D" w:rsidRDefault="00D85D4D" w:rsidP="004E6854">
      <w:pPr>
        <w:pBdr>
          <w:top w:val="single" w:sz="4" w:space="1" w:color="auto"/>
          <w:left w:val="single" w:sz="4" w:space="4" w:color="auto"/>
          <w:bottom w:val="single" w:sz="4" w:space="1" w:color="auto"/>
          <w:right w:val="single" w:sz="4" w:space="4" w:color="auto"/>
        </w:pBdr>
        <w:shd w:val="clear" w:color="auto" w:fill="EAF1DD" w:themeFill="accent3" w:themeFillTint="33"/>
        <w:ind w:firstLine="567"/>
        <w:rPr>
          <w:rFonts w:cs="Arial"/>
          <w:iCs/>
          <w:szCs w:val="22"/>
          <w:lang w:eastAsia="en-GB" w:bidi="ar-SA"/>
        </w:rPr>
      </w:pPr>
      <w:r w:rsidRPr="00D85D4D">
        <w:rPr>
          <w:rFonts w:cs="Arial"/>
          <w:iCs/>
          <w:szCs w:val="22"/>
          <w:lang w:eastAsia="en-GB" w:bidi="ar-SA"/>
        </w:rPr>
        <w:t>What control measures for CMPF does your business use?</w:t>
      </w:r>
    </w:p>
    <w:p w14:paraId="62958507" w14:textId="465C76FD" w:rsidR="00103610" w:rsidRPr="00497D92" w:rsidRDefault="00497D92" w:rsidP="00497D92">
      <w:pPr>
        <w:pStyle w:val="Heading3"/>
      </w:pPr>
      <w:bookmarkStart w:id="42" w:name="_Toc452645330"/>
      <w:r w:rsidRPr="00497D92">
        <w:t>2.</w:t>
      </w:r>
      <w:r w:rsidR="00CB36C3">
        <w:t>2</w:t>
      </w:r>
      <w:r w:rsidR="00462A77">
        <w:t>.3</w:t>
      </w:r>
      <w:r w:rsidR="00F1146C">
        <w:tab/>
      </w:r>
      <w:r w:rsidRPr="00497D92">
        <w:t>The</w:t>
      </w:r>
      <w:r w:rsidR="00103610" w:rsidRPr="00497D92">
        <w:t xml:space="preserve"> residual risk</w:t>
      </w:r>
      <w:bookmarkEnd w:id="42"/>
    </w:p>
    <w:p w14:paraId="5185471A" w14:textId="0909392F" w:rsidR="00DB2D9D" w:rsidRDefault="00103610" w:rsidP="00DB2D9D">
      <w:r>
        <w:rPr>
          <w:lang w:eastAsia="en-AU" w:bidi="ar-SA"/>
        </w:rPr>
        <w:t xml:space="preserve">The </w:t>
      </w:r>
      <w:r w:rsidR="003C4650">
        <w:rPr>
          <w:lang w:eastAsia="en-AU" w:bidi="ar-SA"/>
        </w:rPr>
        <w:t>risk profile and control measures were</w:t>
      </w:r>
      <w:r>
        <w:t xml:space="preserve"> </w:t>
      </w:r>
      <w:r w:rsidR="006F19E1">
        <w:t>taken into consideration</w:t>
      </w:r>
      <w:r>
        <w:t xml:space="preserve"> </w:t>
      </w:r>
      <w:r w:rsidRPr="00275500">
        <w:t xml:space="preserve">in </w:t>
      </w:r>
      <w:r>
        <w:t xml:space="preserve">the </w:t>
      </w:r>
      <w:r w:rsidR="006F19E1">
        <w:t xml:space="preserve">overall </w:t>
      </w:r>
      <w:r w:rsidRPr="00275500">
        <w:t>analys</w:t>
      </w:r>
      <w:r>
        <w:t>is</w:t>
      </w:r>
      <w:r w:rsidRPr="00275500">
        <w:t xml:space="preserve"> </w:t>
      </w:r>
      <w:r>
        <w:t xml:space="preserve">of </w:t>
      </w:r>
      <w:r w:rsidR="006F19E1">
        <w:t>the residual risk from CMPF</w:t>
      </w:r>
      <w:r w:rsidR="00E76ACC">
        <w:t xml:space="preserve">. </w:t>
      </w:r>
      <w:r w:rsidR="006F19E1">
        <w:t xml:space="preserve">The residual risk is </w:t>
      </w:r>
      <w:r w:rsidR="006F19E1" w:rsidRPr="006F19E1">
        <w:t xml:space="preserve">the remaining risk to public health posed by packaging chemicals taking into account the severity of the adverse effect, likelihood of exposure and the efficacy (including implementation) of mitigation measures. </w:t>
      </w:r>
      <w:r w:rsidR="00DB2D9D" w:rsidRPr="00275500">
        <w:t xml:space="preserve">The interplay, or ‘balance’ of these </w:t>
      </w:r>
      <w:r w:rsidR="00DB2D9D">
        <w:t xml:space="preserve">the risk and control measures </w:t>
      </w:r>
      <w:r w:rsidR="00DB2D9D" w:rsidRPr="00275500">
        <w:t>enables a qualitative estimation of the residual risk from CMPF (</w:t>
      </w:r>
      <w:r w:rsidR="00BF0DC4">
        <w:t xml:space="preserve">refer to </w:t>
      </w:r>
      <w:r w:rsidR="0072759C">
        <w:t>SD5</w:t>
      </w:r>
      <w:r w:rsidR="00DB2D9D" w:rsidRPr="00275500">
        <w:t xml:space="preserve">). </w:t>
      </w:r>
    </w:p>
    <w:p w14:paraId="54BD264E" w14:textId="77777777" w:rsidR="001E6B7C" w:rsidRDefault="001E6B7C" w:rsidP="00811C0B"/>
    <w:p w14:paraId="39A635C0" w14:textId="77777777" w:rsidR="00462A77" w:rsidRDefault="001E6B7C" w:rsidP="00C86DA8">
      <w:pPr>
        <w:rPr>
          <w:iCs/>
        </w:rPr>
      </w:pPr>
      <w:r>
        <w:t>Overall the analysis of current control measures employed by raw material suppliers and packaging manufacturers in Australia and New Zealand indicates that there is good upstream control of CMPF</w:t>
      </w:r>
      <w:r w:rsidR="00E76ACC">
        <w:t xml:space="preserve">. </w:t>
      </w:r>
      <w:r w:rsidR="00F84999">
        <w:t>Furthermore, e</w:t>
      </w:r>
      <w:r w:rsidR="00F84999">
        <w:rPr>
          <w:iCs/>
        </w:rPr>
        <w:t xml:space="preserve">vidence from </w:t>
      </w:r>
      <w:r w:rsidR="00E3728F">
        <w:rPr>
          <w:iCs/>
        </w:rPr>
        <w:t>packaging surveys, including the recently published second phase of the 24</w:t>
      </w:r>
      <w:r w:rsidR="00E3728F" w:rsidRPr="00E3728F">
        <w:rPr>
          <w:iCs/>
          <w:vertAlign w:val="superscript"/>
        </w:rPr>
        <w:t>th</w:t>
      </w:r>
      <w:r w:rsidR="00E3728F">
        <w:rPr>
          <w:iCs/>
        </w:rPr>
        <w:t xml:space="preserve"> </w:t>
      </w:r>
      <w:r w:rsidR="00F84999">
        <w:rPr>
          <w:iCs/>
        </w:rPr>
        <w:t>ATDS</w:t>
      </w:r>
      <w:r w:rsidR="00E3728F">
        <w:rPr>
          <w:iCs/>
        </w:rPr>
        <w:t>, show</w:t>
      </w:r>
      <w:r w:rsidR="00F84999">
        <w:rPr>
          <w:iCs/>
        </w:rPr>
        <w:t xml:space="preserve"> that</w:t>
      </w:r>
      <w:r w:rsidR="00C86DA8" w:rsidRPr="00766C02">
        <w:rPr>
          <w:iCs/>
        </w:rPr>
        <w:t xml:space="preserve"> the estimated exposures to packaging chemicals detected in Australian foods and beverages</w:t>
      </w:r>
      <w:r w:rsidR="00F84999">
        <w:rPr>
          <w:rStyle w:val="FootnoteReference"/>
          <w:iCs/>
        </w:rPr>
        <w:footnoteReference w:id="17"/>
      </w:r>
      <w:r w:rsidR="00C86DA8" w:rsidRPr="00766C02">
        <w:rPr>
          <w:iCs/>
        </w:rPr>
        <w:t xml:space="preserve"> were below internationally recognised safe levels and presented a negligible to low risk to the Australian </w:t>
      </w:r>
      <w:r w:rsidR="00E3728F">
        <w:rPr>
          <w:iCs/>
        </w:rPr>
        <w:t xml:space="preserve">and New Zealand </w:t>
      </w:r>
      <w:r w:rsidR="00C86DA8" w:rsidRPr="00766C02">
        <w:rPr>
          <w:iCs/>
        </w:rPr>
        <w:t xml:space="preserve">population. </w:t>
      </w:r>
      <w:r w:rsidR="00462A77">
        <w:rPr>
          <w:iCs/>
        </w:rPr>
        <w:br w:type="page"/>
      </w:r>
    </w:p>
    <w:p w14:paraId="623FBA48" w14:textId="1622370A" w:rsidR="00F84999" w:rsidRDefault="00F84999" w:rsidP="00C86DA8">
      <w:pPr>
        <w:rPr>
          <w:iCs/>
        </w:rPr>
      </w:pPr>
      <w:r>
        <w:rPr>
          <w:iCs/>
        </w:rPr>
        <w:lastRenderedPageBreak/>
        <w:t>Therefore, on balance the residual risk from CMPF is considered low.</w:t>
      </w:r>
    </w:p>
    <w:p w14:paraId="6F6F7A1A" w14:textId="77777777" w:rsidR="00F84999" w:rsidRDefault="00F84999" w:rsidP="00C86DA8">
      <w:pPr>
        <w:rPr>
          <w:iCs/>
        </w:rPr>
      </w:pPr>
    </w:p>
    <w:p w14:paraId="6C1DCF20" w14:textId="499E6E1E" w:rsidR="00C86DA8" w:rsidRDefault="00C86DA8" w:rsidP="00C86DA8">
      <w:pPr>
        <w:rPr>
          <w:iCs/>
        </w:rPr>
      </w:pPr>
      <w:r w:rsidRPr="00766C02">
        <w:rPr>
          <w:iCs/>
        </w:rPr>
        <w:t>However</w:t>
      </w:r>
      <w:r w:rsidR="00E3728F">
        <w:rPr>
          <w:iCs/>
        </w:rPr>
        <w:t xml:space="preserve"> as indicated by the risk profile</w:t>
      </w:r>
      <w:r w:rsidRPr="00766C02">
        <w:rPr>
          <w:iCs/>
        </w:rPr>
        <w:t xml:space="preserve">, for two phthalates, </w:t>
      </w:r>
      <w:r w:rsidR="00E3728F">
        <w:rPr>
          <w:iCs/>
        </w:rPr>
        <w:t>DEHP</w:t>
      </w:r>
      <w:r w:rsidRPr="00766C02">
        <w:rPr>
          <w:iCs/>
        </w:rPr>
        <w:t xml:space="preserve"> and </w:t>
      </w:r>
      <w:r w:rsidR="00E3728F">
        <w:rPr>
          <w:iCs/>
        </w:rPr>
        <w:t xml:space="preserve">DINP, </w:t>
      </w:r>
      <w:r w:rsidRPr="00766C02">
        <w:rPr>
          <w:iCs/>
        </w:rPr>
        <w:t>the screening identified a need for more comprehensive analytical data to enable a more robust assessment of any potential health and safety risks.</w:t>
      </w:r>
    </w:p>
    <w:p w14:paraId="047FDE70" w14:textId="77777777" w:rsidR="00F9419D" w:rsidRPr="00766C02" w:rsidRDefault="00F9419D" w:rsidP="00811C0B"/>
    <w:p w14:paraId="49B021B9" w14:textId="6EC0A62F" w:rsidR="007B65CB" w:rsidRDefault="00F84999" w:rsidP="00811C0B">
      <w:r>
        <w:t xml:space="preserve">The pathway for deciding on the level of residual risk </w:t>
      </w:r>
      <w:r w:rsidR="00365006">
        <w:t xml:space="preserve">from </w:t>
      </w:r>
      <w:r w:rsidR="006F6435">
        <w:t xml:space="preserve">a </w:t>
      </w:r>
      <w:r w:rsidR="00365006">
        <w:t>chemical hazard is illustrated in Figure 1</w:t>
      </w:r>
      <w:r w:rsidR="00E76ACC">
        <w:t xml:space="preserve">. </w:t>
      </w:r>
      <w:r w:rsidR="00365006">
        <w:t xml:space="preserve">If there </w:t>
      </w:r>
      <w:r w:rsidR="00484AEC">
        <w:t xml:space="preserve">are </w:t>
      </w:r>
      <w:r w:rsidR="00365006">
        <w:t xml:space="preserve">insufficient data </w:t>
      </w:r>
      <w:r w:rsidR="006F6435">
        <w:t>or uncertainty about the nature of the hazard, for example,</w:t>
      </w:r>
      <w:r w:rsidR="00365006">
        <w:t xml:space="preserve"> its </w:t>
      </w:r>
      <w:r w:rsidR="006F6435">
        <w:t xml:space="preserve">ability to migrate from packaging, </w:t>
      </w:r>
      <w:r w:rsidR="00365006">
        <w:t xml:space="preserve">further characterisation of the risk </w:t>
      </w:r>
      <w:r w:rsidR="006F6435">
        <w:t>may be</w:t>
      </w:r>
      <w:r w:rsidR="00365006">
        <w:t xml:space="preserve"> required</w:t>
      </w:r>
      <w:r w:rsidR="006F6435">
        <w:t>.</w:t>
      </w:r>
    </w:p>
    <w:p w14:paraId="2E394C32" w14:textId="53878DC4" w:rsidR="00CF2F29" w:rsidRPr="000104A3" w:rsidRDefault="00E2277D" w:rsidP="00811C0B">
      <w:pPr>
        <w:jc w:val="center"/>
        <w:rPr>
          <w:highlight w:val="yellow"/>
        </w:rPr>
      </w:pPr>
      <w:r>
        <w:object w:dxaOrig="13065" w:dyaOrig="10875" w14:anchorId="460C4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99.25pt" o:ole="">
            <v:imagedata r:id="rId24" o:title=""/>
          </v:shape>
          <o:OLEObject Type="Embed" ProgID="Visio.Drawing.15" ShapeID="_x0000_i1025" DrawAspect="Content" ObjectID="_1526882512" r:id="rId25"/>
        </w:object>
      </w:r>
    </w:p>
    <w:p w14:paraId="58EF33BB" w14:textId="144778B5" w:rsidR="000104A3" w:rsidRPr="004E6854" w:rsidRDefault="000104A3" w:rsidP="004E6854">
      <w:pPr>
        <w:tabs>
          <w:tab w:val="left" w:pos="0"/>
        </w:tabs>
        <w:spacing w:after="200"/>
        <w:contextualSpacing/>
        <w:jc w:val="center"/>
        <w:rPr>
          <w:rFonts w:cs="Arial"/>
          <w:i/>
          <w:color w:val="000000"/>
          <w:lang w:val="en-AU" w:eastAsia="en-AU"/>
        </w:rPr>
      </w:pPr>
      <w:bookmarkStart w:id="44" w:name="_Toc175381442"/>
      <w:bookmarkStart w:id="45" w:name="_Toc286391010"/>
      <w:bookmarkStart w:id="46" w:name="_Toc300933426"/>
      <w:r w:rsidRPr="004E6854">
        <w:rPr>
          <w:rFonts w:cs="Arial"/>
          <w:i/>
          <w:color w:val="000000"/>
          <w:lang w:val="en-AU" w:eastAsia="en-AU"/>
        </w:rPr>
        <w:t xml:space="preserve">Figure 1:  </w:t>
      </w:r>
      <w:r w:rsidR="00093253" w:rsidRPr="004E6854">
        <w:rPr>
          <w:rFonts w:cs="Arial"/>
          <w:i/>
          <w:color w:val="000000"/>
          <w:lang w:val="en-AU" w:eastAsia="en-AU"/>
        </w:rPr>
        <w:t>R</w:t>
      </w:r>
      <w:r w:rsidRPr="004E6854">
        <w:rPr>
          <w:rFonts w:cs="Arial"/>
          <w:i/>
          <w:color w:val="000000"/>
          <w:lang w:val="en-AU" w:eastAsia="en-AU"/>
        </w:rPr>
        <w:t>esidual risk</w:t>
      </w:r>
      <w:r w:rsidR="00093253" w:rsidRPr="004E6854">
        <w:rPr>
          <w:rFonts w:cs="Arial"/>
          <w:i/>
          <w:color w:val="000000"/>
          <w:lang w:val="en-AU" w:eastAsia="en-AU"/>
        </w:rPr>
        <w:t xml:space="preserve"> decision tree</w:t>
      </w:r>
    </w:p>
    <w:p w14:paraId="15AC2AED" w14:textId="0B146517" w:rsidR="004F69F6" w:rsidRPr="00932F14" w:rsidRDefault="00D3171B" w:rsidP="004646F8">
      <w:pPr>
        <w:pStyle w:val="Heading2"/>
      </w:pPr>
      <w:bookmarkStart w:id="47" w:name="_Toc452645331"/>
      <w:r>
        <w:t>2</w:t>
      </w:r>
      <w:r w:rsidR="0045556F">
        <w:t>.</w:t>
      </w:r>
      <w:r w:rsidR="00CB36C3">
        <w:t>3</w:t>
      </w:r>
      <w:r w:rsidR="00271F00">
        <w:tab/>
      </w:r>
      <w:bookmarkEnd w:id="44"/>
      <w:bookmarkEnd w:id="45"/>
      <w:bookmarkEnd w:id="46"/>
      <w:r w:rsidR="0045556F">
        <w:t>R</w:t>
      </w:r>
      <w:r w:rsidR="00707E72">
        <w:t>isk m</w:t>
      </w:r>
      <w:r w:rsidR="008A35FB">
        <w:t>anagement</w:t>
      </w:r>
      <w:bookmarkEnd w:id="47"/>
    </w:p>
    <w:p w14:paraId="7C3AB7A0" w14:textId="408CF819" w:rsidR="00267D90" w:rsidRDefault="00667879" w:rsidP="0073520B">
      <w:pPr>
        <w:rPr>
          <w:rFonts w:cs="Arial"/>
          <w:color w:val="000000"/>
          <w:lang w:val="en-AU" w:eastAsia="en-AU"/>
        </w:rPr>
      </w:pPr>
      <w:bookmarkStart w:id="48" w:name="_Toc300761910"/>
      <w:r>
        <w:rPr>
          <w:lang w:bidi="ar-SA"/>
        </w:rPr>
        <w:t xml:space="preserve">This section identifies the risk management considerations taken into account in developing options to </w:t>
      </w:r>
      <w:r w:rsidR="00DB2D9D">
        <w:rPr>
          <w:lang w:bidi="ar-SA"/>
        </w:rPr>
        <w:t xml:space="preserve">address the identified residual risk from CMPF and </w:t>
      </w:r>
      <w:r>
        <w:rPr>
          <w:lang w:bidi="ar-SA"/>
        </w:rPr>
        <w:t xml:space="preserve">improve the </w:t>
      </w:r>
      <w:r w:rsidR="00CF2F29">
        <w:rPr>
          <w:lang w:bidi="ar-SA"/>
        </w:rPr>
        <w:t xml:space="preserve">overall </w:t>
      </w:r>
      <w:r>
        <w:rPr>
          <w:lang w:bidi="ar-SA"/>
        </w:rPr>
        <w:t>management of risks compared to the current regulatory approach</w:t>
      </w:r>
      <w:r w:rsidR="00E76ACC">
        <w:rPr>
          <w:lang w:bidi="ar-SA"/>
        </w:rPr>
        <w:t xml:space="preserve">. </w:t>
      </w:r>
      <w:r w:rsidR="0073520B" w:rsidRPr="00BF3ECD">
        <w:rPr>
          <w:rFonts w:cs="Arial"/>
          <w:color w:val="000000"/>
          <w:lang w:val="en-AU" w:eastAsia="en-AU"/>
        </w:rPr>
        <w:t xml:space="preserve">We have identified the following: </w:t>
      </w:r>
    </w:p>
    <w:p w14:paraId="7C33085F" w14:textId="77777777" w:rsidR="003A64E7" w:rsidRPr="00BF3ECD" w:rsidRDefault="003A64E7" w:rsidP="0073520B">
      <w:pPr>
        <w:rPr>
          <w:rFonts w:cs="Arial"/>
          <w:color w:val="000000"/>
          <w:lang w:val="en-AU" w:eastAsia="en-AU"/>
        </w:rPr>
      </w:pPr>
    </w:p>
    <w:p w14:paraId="74765B52" w14:textId="6B15FD1D" w:rsidR="004C481E" w:rsidRPr="00BF3ECD" w:rsidRDefault="004C481E" w:rsidP="004C481E">
      <w:pPr>
        <w:pStyle w:val="FSBullet1"/>
        <w:rPr>
          <w:lang w:val="en-AU" w:eastAsia="en-AU"/>
        </w:rPr>
      </w:pPr>
      <w:r>
        <w:rPr>
          <w:lang w:val="en-AU" w:eastAsia="en-AU"/>
        </w:rPr>
        <w:t>Australian and New Zealand regulations are not as prescriptive as those in many like and less developed economies</w:t>
      </w:r>
    </w:p>
    <w:p w14:paraId="0102BB61" w14:textId="77777777" w:rsidR="004C481E" w:rsidRPr="00BF3ECD" w:rsidRDefault="004C481E" w:rsidP="004C481E">
      <w:pPr>
        <w:pStyle w:val="FSBullet1"/>
        <w:rPr>
          <w:lang w:val="en-AU" w:eastAsia="en-AU"/>
        </w:rPr>
      </w:pPr>
      <w:r w:rsidRPr="00BF3ECD">
        <w:rPr>
          <w:lang w:val="en-AU" w:eastAsia="en-AU"/>
        </w:rPr>
        <w:t xml:space="preserve">there is lack of clarity and certainty </w:t>
      </w:r>
      <w:r>
        <w:rPr>
          <w:lang w:val="en-AU" w:eastAsia="en-AU"/>
        </w:rPr>
        <w:t xml:space="preserve">about </w:t>
      </w:r>
      <w:r w:rsidRPr="00BF3ECD">
        <w:rPr>
          <w:lang w:val="en-AU" w:eastAsia="en-AU"/>
        </w:rPr>
        <w:t>the current requirements (regulatory a</w:t>
      </w:r>
      <w:r>
        <w:rPr>
          <w:lang w:val="en-AU" w:eastAsia="en-AU"/>
        </w:rPr>
        <w:t xml:space="preserve">nd non-regulatory) for some food businesses in Australia and New Zealand </w:t>
      </w:r>
    </w:p>
    <w:p w14:paraId="60DB3A19" w14:textId="4914A563" w:rsidR="004C481E" w:rsidRPr="00BF3ECD" w:rsidRDefault="004C481E" w:rsidP="004C481E">
      <w:pPr>
        <w:pStyle w:val="FSBullet1"/>
        <w:rPr>
          <w:lang w:val="en-AU" w:eastAsia="en-AU"/>
        </w:rPr>
      </w:pPr>
      <w:r>
        <w:rPr>
          <w:lang w:val="en-AU" w:eastAsia="en-AU"/>
        </w:rPr>
        <w:t>t</w:t>
      </w:r>
      <w:r w:rsidRPr="00BF3ECD">
        <w:rPr>
          <w:lang w:val="en-AU" w:eastAsia="en-AU"/>
        </w:rPr>
        <w:t xml:space="preserve">here are gaps in the awareness and management of CMPF </w:t>
      </w:r>
      <w:r w:rsidR="001A5E17">
        <w:rPr>
          <w:lang w:val="en-AU" w:eastAsia="en-AU"/>
        </w:rPr>
        <w:t xml:space="preserve">for some food businesses </w:t>
      </w:r>
      <w:r>
        <w:rPr>
          <w:lang w:val="en-AU" w:eastAsia="en-AU"/>
        </w:rPr>
        <w:t>and the application of suitable</w:t>
      </w:r>
      <w:r w:rsidRPr="00BF3ECD">
        <w:rPr>
          <w:lang w:val="en-AU" w:eastAsia="en-AU"/>
        </w:rPr>
        <w:t xml:space="preserve"> control practices are uneven across industry </w:t>
      </w:r>
    </w:p>
    <w:p w14:paraId="15AB6627" w14:textId="3E24F361" w:rsidR="00ED6036" w:rsidRPr="00D873CB" w:rsidRDefault="00ED6036" w:rsidP="004E6854">
      <w:pPr>
        <w:pStyle w:val="FSBullet1"/>
        <w:rPr>
          <w:lang w:val="en-AU" w:eastAsia="en-AU"/>
        </w:rPr>
      </w:pPr>
      <w:proofErr w:type="gramStart"/>
      <w:r>
        <w:rPr>
          <w:lang w:val="en-AU" w:eastAsia="en-AU"/>
        </w:rPr>
        <w:t>detections</w:t>
      </w:r>
      <w:proofErr w:type="gramEnd"/>
      <w:r>
        <w:rPr>
          <w:lang w:val="en-AU" w:eastAsia="en-AU"/>
        </w:rPr>
        <w:t xml:space="preserve"> of two </w:t>
      </w:r>
      <w:r w:rsidRPr="00ED6036">
        <w:rPr>
          <w:rFonts w:eastAsiaTheme="minorHAnsi" w:cstheme="minorBidi"/>
          <w:szCs w:val="22"/>
        </w:rPr>
        <w:t>phthalate</w:t>
      </w:r>
      <w:r>
        <w:rPr>
          <w:rFonts w:eastAsiaTheme="minorHAnsi" w:cstheme="minorBidi"/>
          <w:szCs w:val="22"/>
        </w:rPr>
        <w:t>s</w:t>
      </w:r>
      <w:r w:rsidR="00D873CB" w:rsidRPr="00D873CB">
        <w:rPr>
          <w:lang w:val="en-AU" w:eastAsia="en-AU"/>
        </w:rPr>
        <w:t xml:space="preserve"> </w:t>
      </w:r>
      <w:r w:rsidR="00D873CB">
        <w:rPr>
          <w:lang w:val="en-AU" w:eastAsia="en-AU"/>
        </w:rPr>
        <w:t>DEHP and DINP have been found from the 24</w:t>
      </w:r>
      <w:r w:rsidR="00D873CB" w:rsidRPr="00ED6036">
        <w:rPr>
          <w:vertAlign w:val="superscript"/>
          <w:lang w:val="en-AU" w:eastAsia="en-AU"/>
        </w:rPr>
        <w:t>th</w:t>
      </w:r>
      <w:r w:rsidR="00D873CB">
        <w:rPr>
          <w:lang w:val="en-AU" w:eastAsia="en-AU"/>
        </w:rPr>
        <w:t xml:space="preserve"> ATDS and these may have </w:t>
      </w:r>
      <w:r w:rsidR="00D873CB" w:rsidRPr="00D873CB">
        <w:rPr>
          <w:lang w:val="en-AU" w:eastAsia="en-AU"/>
        </w:rPr>
        <w:t>public health and safety co</w:t>
      </w:r>
      <w:r w:rsidR="00D873CB">
        <w:rPr>
          <w:lang w:val="en-AU" w:eastAsia="en-AU"/>
        </w:rPr>
        <w:t>ncerns</w:t>
      </w:r>
      <w:r w:rsidR="00462A77">
        <w:rPr>
          <w:lang w:val="en-AU" w:eastAsia="en-AU"/>
        </w:rPr>
        <w:t xml:space="preserve">. </w:t>
      </w:r>
    </w:p>
    <w:p w14:paraId="5D197DBB" w14:textId="77777777" w:rsidR="00C71EC9" w:rsidRDefault="00C71EC9" w:rsidP="0076417D">
      <w:pPr>
        <w:rPr>
          <w:szCs w:val="22"/>
        </w:rPr>
      </w:pPr>
    </w:p>
    <w:p w14:paraId="5FD59A72" w14:textId="77777777" w:rsidR="00811C0B" w:rsidRDefault="00811C0B" w:rsidP="0001657B">
      <w:r>
        <w:br w:type="page"/>
      </w:r>
    </w:p>
    <w:p w14:paraId="1D70D59B" w14:textId="1337D43B" w:rsidR="0001657B" w:rsidRDefault="0001657B" w:rsidP="0001657B">
      <w:r>
        <w:lastRenderedPageBreak/>
        <w:t>Taking into account FSANZ’s risk profile for CMPF (SD 3), risk manage</w:t>
      </w:r>
      <w:r w:rsidR="0039510B">
        <w:t xml:space="preserve">ment principles for setting maximum limits (MLs) </w:t>
      </w:r>
      <w:r>
        <w:t>in the Code and comments received in response to the consultation paper released in December 2014</w:t>
      </w:r>
      <w:r>
        <w:rPr>
          <w:rStyle w:val="FootnoteReference"/>
        </w:rPr>
        <w:footnoteReference w:id="18"/>
      </w:r>
      <w:r>
        <w:t xml:space="preserve">, FSANZ has investigated options to improve the mitigation of CMPF (Figure 2). </w:t>
      </w:r>
    </w:p>
    <w:p w14:paraId="5873A032" w14:textId="77777777" w:rsidR="0001657B" w:rsidRDefault="0001657B" w:rsidP="0001657B">
      <w:pPr>
        <w:rPr>
          <w:szCs w:val="22"/>
        </w:rPr>
      </w:pPr>
      <w:r>
        <w:rPr>
          <w:szCs w:val="22"/>
        </w:rPr>
        <w:t xml:space="preserve"> </w:t>
      </w:r>
    </w:p>
    <w:p w14:paraId="6708995D" w14:textId="4766E80D" w:rsidR="00135D1F" w:rsidRPr="00135D1F" w:rsidRDefault="003118FE" w:rsidP="0001657B">
      <w:pPr>
        <w:rPr>
          <w:szCs w:val="22"/>
        </w:rPr>
      </w:pPr>
      <w:r>
        <w:rPr>
          <w:szCs w:val="22"/>
        </w:rPr>
        <w:t xml:space="preserve">Based on the information available, </w:t>
      </w:r>
      <w:r w:rsidR="00AD114C">
        <w:rPr>
          <w:szCs w:val="22"/>
        </w:rPr>
        <w:t xml:space="preserve">FSANZ’s </w:t>
      </w:r>
      <w:r w:rsidR="00AD114C" w:rsidRPr="00135D1F">
        <w:rPr>
          <w:szCs w:val="22"/>
        </w:rPr>
        <w:t>assessment</w:t>
      </w:r>
      <w:r w:rsidR="00135D1F" w:rsidRPr="00135D1F">
        <w:rPr>
          <w:szCs w:val="22"/>
        </w:rPr>
        <w:t xml:space="preserve"> </w:t>
      </w:r>
      <w:r>
        <w:rPr>
          <w:szCs w:val="22"/>
        </w:rPr>
        <w:t>is</w:t>
      </w:r>
      <w:r w:rsidR="00135D1F" w:rsidRPr="00135D1F">
        <w:rPr>
          <w:szCs w:val="22"/>
        </w:rPr>
        <w:t xml:space="preserve"> </w:t>
      </w:r>
      <w:r w:rsidR="00135D1F">
        <w:rPr>
          <w:szCs w:val="22"/>
        </w:rPr>
        <w:t xml:space="preserve">that </w:t>
      </w:r>
      <w:r w:rsidR="00EE3F82">
        <w:rPr>
          <w:szCs w:val="22"/>
        </w:rPr>
        <w:t>overall in both Australia and New Zealand t</w:t>
      </w:r>
      <w:r w:rsidR="00DD0584">
        <w:rPr>
          <w:szCs w:val="22"/>
        </w:rPr>
        <w:t xml:space="preserve">here is </w:t>
      </w:r>
      <w:r w:rsidR="00135D1F" w:rsidRPr="00135D1F">
        <w:rPr>
          <w:szCs w:val="22"/>
        </w:rPr>
        <w:t>a low risk</w:t>
      </w:r>
      <w:r w:rsidR="004B6C09">
        <w:rPr>
          <w:szCs w:val="22"/>
        </w:rPr>
        <w:t xml:space="preserve"> from CMPF. H</w:t>
      </w:r>
      <w:r w:rsidR="00DD0584">
        <w:rPr>
          <w:szCs w:val="22"/>
        </w:rPr>
        <w:t xml:space="preserve">owever, there are specific chemicals that in FSANZ’s view pose a high risk. Having regard to these </w:t>
      </w:r>
      <w:r w:rsidR="00135D1F" w:rsidRPr="00135D1F">
        <w:rPr>
          <w:szCs w:val="22"/>
        </w:rPr>
        <w:t>risk</w:t>
      </w:r>
      <w:r w:rsidR="00DD0584">
        <w:rPr>
          <w:szCs w:val="22"/>
        </w:rPr>
        <w:t>s</w:t>
      </w:r>
      <w:r w:rsidR="00135D1F" w:rsidRPr="00135D1F">
        <w:rPr>
          <w:szCs w:val="22"/>
        </w:rPr>
        <w:t xml:space="preserve">, </w:t>
      </w:r>
      <w:r w:rsidR="00135D1F" w:rsidRPr="00E35996">
        <w:rPr>
          <w:szCs w:val="22"/>
        </w:rPr>
        <w:t>and the criteria specified by section 59</w:t>
      </w:r>
      <w:r w:rsidR="00510031">
        <w:rPr>
          <w:szCs w:val="22"/>
        </w:rPr>
        <w:t xml:space="preserve"> of the FSANZ Act</w:t>
      </w:r>
      <w:r w:rsidR="00135D1F" w:rsidRPr="00E35996">
        <w:rPr>
          <w:szCs w:val="22"/>
        </w:rPr>
        <w:t xml:space="preserve">, </w:t>
      </w:r>
      <w:r w:rsidR="00135D1F" w:rsidRPr="00135D1F">
        <w:rPr>
          <w:szCs w:val="22"/>
        </w:rPr>
        <w:t>our assessment is tha</w:t>
      </w:r>
      <w:r w:rsidR="00267D90">
        <w:rPr>
          <w:szCs w:val="22"/>
        </w:rPr>
        <w:t xml:space="preserve">t </w:t>
      </w:r>
      <w:r w:rsidR="00267D90" w:rsidRPr="00135D1F">
        <w:t xml:space="preserve">there are </w:t>
      </w:r>
      <w:r w:rsidR="00267D90">
        <w:t xml:space="preserve">four </w:t>
      </w:r>
      <w:r w:rsidR="00267D90" w:rsidRPr="00135D1F">
        <w:t>risk management responses available and a range of options in each.</w:t>
      </w:r>
    </w:p>
    <w:p w14:paraId="4FF05FD3" w14:textId="77777777" w:rsidR="00135D1F" w:rsidRPr="00135D1F" w:rsidRDefault="00135D1F" w:rsidP="00135D1F">
      <w:pPr>
        <w:rPr>
          <w:szCs w:val="22"/>
        </w:rPr>
      </w:pPr>
    </w:p>
    <w:p w14:paraId="2D978C8D" w14:textId="2E362985" w:rsidR="000840B1" w:rsidRDefault="00746384" w:rsidP="00CB4DD3">
      <w:r>
        <w:t xml:space="preserve">These </w:t>
      </w:r>
      <w:r w:rsidR="00135D1F">
        <w:t xml:space="preserve">options </w:t>
      </w:r>
      <w:r w:rsidR="0073520B" w:rsidRPr="0076417D">
        <w:t>are presented below</w:t>
      </w:r>
      <w:r w:rsidR="008C7A40">
        <w:t xml:space="preserve"> (Figure 2)</w:t>
      </w:r>
      <w:r w:rsidR="0073520B" w:rsidRPr="0076417D">
        <w:t>.</w:t>
      </w:r>
    </w:p>
    <w:p w14:paraId="084503A4" w14:textId="77777777" w:rsidR="0027206D" w:rsidRDefault="0027206D" w:rsidP="00CB4DD3"/>
    <w:p w14:paraId="4496F7BE" w14:textId="4B2C9460" w:rsidR="000840B1" w:rsidRDefault="0027206D" w:rsidP="00CB4DD3">
      <w:pPr>
        <w:rPr>
          <w:szCs w:val="22"/>
        </w:rPr>
      </w:pPr>
      <w:r>
        <w:object w:dxaOrig="15871" w:dyaOrig="6375" w14:anchorId="0CDED750">
          <v:shape id="_x0000_i1026" type="#_x0000_t75" style="width:453pt;height:183pt" o:ole="">
            <v:imagedata r:id="rId26" o:title=""/>
          </v:shape>
          <o:OLEObject Type="Embed" ProgID="Visio.Drawing.15" ShapeID="_x0000_i1026" DrawAspect="Content" ObjectID="_1526882513" r:id="rId27"/>
        </w:object>
      </w:r>
    </w:p>
    <w:p w14:paraId="7D7829F2" w14:textId="29D3D06A" w:rsidR="0073520B" w:rsidRPr="004E6854" w:rsidRDefault="0073520B" w:rsidP="004E6854">
      <w:pPr>
        <w:jc w:val="center"/>
        <w:rPr>
          <w:i/>
        </w:rPr>
      </w:pPr>
      <w:r w:rsidRPr="004E6854">
        <w:rPr>
          <w:i/>
        </w:rPr>
        <w:t xml:space="preserve">Figure </w:t>
      </w:r>
      <w:r w:rsidR="00CE48E6" w:rsidRPr="004E6854">
        <w:rPr>
          <w:i/>
        </w:rPr>
        <w:t>2</w:t>
      </w:r>
      <w:r w:rsidR="00AD25D1" w:rsidRPr="004E6854">
        <w:rPr>
          <w:i/>
        </w:rPr>
        <w:t xml:space="preserve">:  </w:t>
      </w:r>
      <w:r w:rsidR="004E6854">
        <w:rPr>
          <w:i/>
        </w:rPr>
        <w:t>R</w:t>
      </w:r>
      <w:r w:rsidR="004E6854" w:rsidRPr="004E6854">
        <w:rPr>
          <w:i/>
        </w:rPr>
        <w:t xml:space="preserve">isk </w:t>
      </w:r>
      <w:r w:rsidR="00CE48E6" w:rsidRPr="004E6854">
        <w:rPr>
          <w:i/>
        </w:rPr>
        <w:t>management options</w:t>
      </w:r>
      <w:r w:rsidR="00307CB3" w:rsidRPr="004E6854">
        <w:rPr>
          <w:i/>
        </w:rPr>
        <w:t>.</w:t>
      </w:r>
    </w:p>
    <w:p w14:paraId="301F4F57" w14:textId="77777777" w:rsidR="001A5E3A" w:rsidRDefault="001A5E3A" w:rsidP="004C481E"/>
    <w:p w14:paraId="563C5844" w14:textId="77777777" w:rsidR="004C481E" w:rsidRPr="00B2039C" w:rsidRDefault="004C481E" w:rsidP="004C481E">
      <w:r w:rsidRPr="00D638CE">
        <w:t>FSANZ has presented details on these approaches to encourage discussion amongst stakeholders on potential alternatives that will improve the overall control of CMP</w:t>
      </w:r>
      <w:r>
        <w:t xml:space="preserve">F. </w:t>
      </w:r>
      <w:r w:rsidRPr="00D638CE">
        <w:t>FSANZ encourages stakeholders to provide submissions</w:t>
      </w:r>
      <w:r>
        <w:t xml:space="preserve">, detailing costs and benefits, </w:t>
      </w:r>
      <w:r w:rsidRPr="00D638CE">
        <w:t>in re</w:t>
      </w:r>
      <w:r>
        <w:t xml:space="preserve">sponse to each </w:t>
      </w:r>
      <w:r w:rsidRPr="00D638CE">
        <w:t xml:space="preserve">option which will be used to inform </w:t>
      </w:r>
      <w:r>
        <w:t>the next stage of this Proposal</w:t>
      </w:r>
      <w:r w:rsidRPr="00D638CE">
        <w:t>.</w:t>
      </w:r>
    </w:p>
    <w:p w14:paraId="0794521F" w14:textId="1676E088" w:rsidR="00CB4DD3" w:rsidRDefault="00CB4DD3" w:rsidP="00B608A6"/>
    <w:p w14:paraId="285CB630" w14:textId="77777777" w:rsidR="00B736FA" w:rsidRDefault="00B736FA" w:rsidP="00B736FA">
      <w:r>
        <w:t>FSANZ’s assessment based on the information currently available is that option 4</w:t>
      </w:r>
      <w:r w:rsidRPr="00C82C2D">
        <w:t xml:space="preserve"> </w:t>
      </w:r>
      <w:r>
        <w:t>(</w:t>
      </w:r>
      <w:r w:rsidRPr="00DF4CE3">
        <w:rPr>
          <w:i/>
        </w:rPr>
        <w:t xml:space="preserve">a </w:t>
      </w:r>
      <w:r>
        <w:rPr>
          <w:i/>
        </w:rPr>
        <w:t>g</w:t>
      </w:r>
      <w:r w:rsidRPr="00DF4CE3">
        <w:rPr>
          <w:i/>
        </w:rPr>
        <w:t>raduated approach</w:t>
      </w:r>
      <w:r>
        <w:t>) appears to have the most efficacy of the four options available. FSANZ</w:t>
      </w:r>
      <w:r w:rsidRPr="00C82C2D">
        <w:t xml:space="preserve"> has </w:t>
      </w:r>
      <w:r>
        <w:t xml:space="preserve">therefore </w:t>
      </w:r>
      <w:r w:rsidRPr="00C82C2D">
        <w:t xml:space="preserve">presented a draft framework for discussion as a possible way of developing an alternative approach to the </w:t>
      </w:r>
      <w:r>
        <w:t>regulation of CMPF in Australia and New Zealand</w:t>
      </w:r>
    </w:p>
    <w:p w14:paraId="1A7ABC43" w14:textId="4977846B" w:rsidR="0097361C" w:rsidRDefault="0097361C" w:rsidP="0097361C">
      <w:pPr>
        <w:pStyle w:val="Heading3"/>
      </w:pPr>
      <w:bookmarkStart w:id="49" w:name="_Toc452645332"/>
      <w:r>
        <w:t>2.</w:t>
      </w:r>
      <w:r w:rsidR="004C481E">
        <w:t>3.1</w:t>
      </w:r>
      <w:r>
        <w:tab/>
        <w:t>Option 1: Status quo</w:t>
      </w:r>
      <w:bookmarkEnd w:id="49"/>
    </w:p>
    <w:p w14:paraId="71952037" w14:textId="0C6670F3" w:rsidR="0097361C" w:rsidRDefault="0097361C" w:rsidP="008D45BF">
      <w:r>
        <w:t xml:space="preserve">In any consideration of changes to regulation, the status quo must be a part of FSANZ’s assessment. This is the base case against which other options </w:t>
      </w:r>
      <w:r w:rsidR="00251E4E">
        <w:t>are</w:t>
      </w:r>
      <w:r>
        <w:t xml:space="preserve"> compared. This option would lead to an </w:t>
      </w:r>
      <w:r w:rsidRPr="00A5120E">
        <w:t>abandon</w:t>
      </w:r>
      <w:r>
        <w:t xml:space="preserve">ment of the Proposal and </w:t>
      </w:r>
      <w:r w:rsidR="00C64D75">
        <w:t>continued reliance o</w:t>
      </w:r>
      <w:r>
        <w:t xml:space="preserve">n </w:t>
      </w:r>
      <w:r w:rsidRPr="00A5120E">
        <w:t xml:space="preserve">the general provisions in the state/territory and New Zealand </w:t>
      </w:r>
      <w:r>
        <w:t>F</w:t>
      </w:r>
      <w:r w:rsidRPr="00A5120E">
        <w:t xml:space="preserve">ood </w:t>
      </w:r>
      <w:r>
        <w:t>A</w:t>
      </w:r>
      <w:r w:rsidRPr="00A5120E">
        <w:t>cts</w:t>
      </w:r>
      <w:r>
        <w:t xml:space="preserve"> (see SD 1) and </w:t>
      </w:r>
      <w:r w:rsidR="00C64D75">
        <w:t xml:space="preserve">on the current </w:t>
      </w:r>
      <w:r w:rsidRPr="00A5120E">
        <w:t xml:space="preserve">requirements in the Code </w:t>
      </w:r>
      <w:r>
        <w:t xml:space="preserve">(SD2). </w:t>
      </w:r>
    </w:p>
    <w:p w14:paraId="177E5AEB" w14:textId="77777777" w:rsidR="00BD1A68" w:rsidRDefault="00BD1A68" w:rsidP="008D45BF"/>
    <w:p w14:paraId="0A8A8F0B" w14:textId="77777777" w:rsidR="00811C0B" w:rsidRDefault="00C64D75" w:rsidP="0097361C">
      <w:pPr>
        <w:autoSpaceDE w:val="0"/>
        <w:autoSpaceDN w:val="0"/>
        <w:adjustRightInd w:val="0"/>
      </w:pPr>
      <w:r>
        <w:t xml:space="preserve">As explained above, food safety risks from CMPF in Australia and New Zealand are currently managed primarily through </w:t>
      </w:r>
      <w:r w:rsidRPr="004D5E67">
        <w:t>Food Act requirements</w:t>
      </w:r>
      <w:r>
        <w:t xml:space="preserve"> binding on those who sell food packaging and food business that package food for sale. </w:t>
      </w:r>
      <w:r w:rsidR="00811C0B">
        <w:br w:type="page"/>
      </w:r>
    </w:p>
    <w:p w14:paraId="2745760C" w14:textId="61D6DA88" w:rsidR="00C64D75" w:rsidRDefault="006134C7" w:rsidP="0097361C">
      <w:pPr>
        <w:autoSpaceDE w:val="0"/>
        <w:autoSpaceDN w:val="0"/>
        <w:adjustRightInd w:val="0"/>
      </w:pPr>
      <w:r>
        <w:lastRenderedPageBreak/>
        <w:t>F</w:t>
      </w:r>
      <w:r w:rsidR="00C64D75">
        <w:t>ood packaging manufacturers in Australia and New Zealand have advised that</w:t>
      </w:r>
      <w:r>
        <w:t xml:space="preserve">, to ensure that they meet the Food Acts’ requirements, </w:t>
      </w:r>
      <w:r w:rsidR="00C64D75">
        <w:t xml:space="preserve"> they voluntarily apply and comply with standards imposed under overseas laws (and which do not apply in Australia or New Zealand) and/or under </w:t>
      </w:r>
      <w:r w:rsidR="00C64D75" w:rsidRPr="004D5E67">
        <w:t xml:space="preserve">packaging </w:t>
      </w:r>
      <w:r w:rsidR="00C64D75">
        <w:t>c</w:t>
      </w:r>
      <w:r w:rsidR="00C64D75" w:rsidRPr="004D5E67">
        <w:t xml:space="preserve">odes of </w:t>
      </w:r>
      <w:r w:rsidR="00C64D75">
        <w:t>practice or</w:t>
      </w:r>
      <w:r w:rsidR="00C64D75" w:rsidRPr="004D5E67">
        <w:t xml:space="preserve"> guidelines</w:t>
      </w:r>
      <w:r w:rsidR="00C64D75">
        <w:t>.</w:t>
      </w:r>
    </w:p>
    <w:p w14:paraId="3F3A5DAC" w14:textId="77777777" w:rsidR="00C64D75" w:rsidRDefault="00C64D75" w:rsidP="0097361C">
      <w:pPr>
        <w:autoSpaceDE w:val="0"/>
        <w:autoSpaceDN w:val="0"/>
        <w:adjustRightInd w:val="0"/>
      </w:pPr>
    </w:p>
    <w:p w14:paraId="490DC8EF" w14:textId="454F24AA" w:rsidR="0097361C" w:rsidRDefault="00096FA5" w:rsidP="0097361C">
      <w:pPr>
        <w:autoSpaceDE w:val="0"/>
        <w:autoSpaceDN w:val="0"/>
        <w:adjustRightInd w:val="0"/>
      </w:pPr>
      <w:r>
        <w:rPr>
          <w:rFonts w:cs="Arial"/>
        </w:rPr>
        <w:t>S</w:t>
      </w:r>
      <w:r w:rsidR="0097361C">
        <w:rPr>
          <w:rFonts w:cs="Arial"/>
        </w:rPr>
        <w:t xml:space="preserve">ubmissions to the consultation paper indicated that </w:t>
      </w:r>
      <w:r w:rsidR="0097361C" w:rsidRPr="00BF3ECD">
        <w:rPr>
          <w:rFonts w:cs="Arial"/>
          <w:color w:val="000000"/>
          <w:lang w:val="en-AU" w:eastAsia="en-AU"/>
        </w:rPr>
        <w:t>there is lack of clarity and certaint</w:t>
      </w:r>
      <w:r w:rsidR="0097361C">
        <w:rPr>
          <w:rFonts w:cs="Arial"/>
          <w:color w:val="000000"/>
          <w:lang w:val="en-AU" w:eastAsia="en-AU"/>
        </w:rPr>
        <w:t xml:space="preserve">y with the Code </w:t>
      </w:r>
      <w:r w:rsidR="0097361C" w:rsidRPr="00BF3ECD">
        <w:rPr>
          <w:rFonts w:cs="Arial"/>
          <w:color w:val="000000"/>
          <w:lang w:val="en-AU" w:eastAsia="en-AU"/>
        </w:rPr>
        <w:t xml:space="preserve">for </w:t>
      </w:r>
      <w:r w:rsidR="0097361C">
        <w:rPr>
          <w:rFonts w:cs="Arial"/>
          <w:color w:val="000000"/>
          <w:lang w:val="en-AU" w:eastAsia="en-AU"/>
        </w:rPr>
        <w:t xml:space="preserve">food businesses, and </w:t>
      </w:r>
      <w:r w:rsidR="0097361C" w:rsidRPr="00BF3ECD">
        <w:rPr>
          <w:rFonts w:cs="Arial"/>
          <w:color w:val="000000"/>
          <w:lang w:val="en-AU" w:eastAsia="en-AU"/>
        </w:rPr>
        <w:t>gaps in the awareness and management of CMPF</w:t>
      </w:r>
      <w:r w:rsidR="0097361C">
        <w:rPr>
          <w:rFonts w:cs="Arial"/>
          <w:color w:val="000000"/>
          <w:lang w:val="en-AU" w:eastAsia="en-AU"/>
        </w:rPr>
        <w:t>. The analysis of control measures indicates that</w:t>
      </w:r>
      <w:r w:rsidR="0097361C" w:rsidRPr="00BF3ECD">
        <w:rPr>
          <w:rFonts w:cs="Arial"/>
          <w:color w:val="000000"/>
          <w:lang w:val="en-AU" w:eastAsia="en-AU"/>
        </w:rPr>
        <w:t xml:space="preserve"> control practices are uneven across industry</w:t>
      </w:r>
      <w:r w:rsidR="0097361C">
        <w:rPr>
          <w:rFonts w:cs="Arial"/>
          <w:color w:val="000000"/>
          <w:lang w:val="en-AU" w:eastAsia="en-AU"/>
        </w:rPr>
        <w:t xml:space="preserve">. </w:t>
      </w:r>
      <w:r w:rsidR="0097361C">
        <w:t xml:space="preserve">Therefore, it is understood that </w:t>
      </w:r>
      <w:r>
        <w:t>a status quo option</w:t>
      </w:r>
      <w:r w:rsidR="0097361C">
        <w:t xml:space="preserve"> does not address potential public health and safety issues (particularly in relation to phthalates as previously described), unknown risks and the other issues of lack of awareness and clarity in the Code. </w:t>
      </w:r>
    </w:p>
    <w:p w14:paraId="55FAEB90" w14:textId="77777777" w:rsidR="006134C7" w:rsidRDefault="006134C7" w:rsidP="0097361C">
      <w:pPr>
        <w:autoSpaceDE w:val="0"/>
        <w:autoSpaceDN w:val="0"/>
        <w:adjustRightInd w:val="0"/>
      </w:pPr>
    </w:p>
    <w:p w14:paraId="7702A47C" w14:textId="62C7CEFC" w:rsidR="0097361C" w:rsidRPr="007B65CB" w:rsidRDefault="0097361C" w:rsidP="0097361C">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B65CB">
        <w:rPr>
          <w:b/>
        </w:rPr>
        <w:t>Question:</w:t>
      </w:r>
    </w:p>
    <w:p w14:paraId="3B6D2607" w14:textId="77777777" w:rsidR="0097361C" w:rsidRDefault="0097361C" w:rsidP="0097361C">
      <w:pPr>
        <w:pBdr>
          <w:top w:val="single" w:sz="4" w:space="1" w:color="auto"/>
          <w:left w:val="single" w:sz="4" w:space="4" w:color="auto"/>
          <w:bottom w:val="single" w:sz="4" w:space="1" w:color="auto"/>
          <w:right w:val="single" w:sz="4" w:space="4" w:color="auto"/>
        </w:pBdr>
        <w:shd w:val="clear" w:color="auto" w:fill="EAF1DD" w:themeFill="accent3" w:themeFillTint="33"/>
      </w:pPr>
    </w:p>
    <w:p w14:paraId="16EA66D4" w14:textId="248022E7" w:rsidR="0097361C" w:rsidRDefault="0097361C" w:rsidP="0097361C">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rPr>
      </w:pPr>
      <w:r>
        <w:t>Q4</w:t>
      </w:r>
      <w:r>
        <w:tab/>
        <w:t xml:space="preserve">What problems </w:t>
      </w:r>
      <w:r>
        <w:rPr>
          <w:lang w:eastAsia="en-AU"/>
        </w:rPr>
        <w:t xml:space="preserve">can you identify </w:t>
      </w:r>
      <w:r w:rsidR="00C346AF">
        <w:rPr>
          <w:lang w:eastAsia="en-AU"/>
        </w:rPr>
        <w:t xml:space="preserve">with </w:t>
      </w:r>
      <w:r w:rsidR="00C80FAB">
        <w:rPr>
          <w:lang w:eastAsia="en-AU"/>
        </w:rPr>
        <w:t>the status quo option and therefore abandoning this proposal</w:t>
      </w:r>
      <w:r>
        <w:rPr>
          <w:lang w:eastAsia="en-AU"/>
        </w:rPr>
        <w:t xml:space="preserve">? </w:t>
      </w:r>
    </w:p>
    <w:p w14:paraId="4974F46E" w14:textId="422A2D7C" w:rsidR="003C4650" w:rsidRPr="007D4222" w:rsidRDefault="00CB36C3" w:rsidP="007D4222">
      <w:pPr>
        <w:pStyle w:val="Heading3"/>
      </w:pPr>
      <w:bookmarkStart w:id="50" w:name="_Toc452645333"/>
      <w:r w:rsidRPr="007D4222">
        <w:t>2.3.</w:t>
      </w:r>
      <w:r w:rsidR="004C481E" w:rsidRPr="007D4222">
        <w:t>2</w:t>
      </w:r>
      <w:r w:rsidRPr="007D4222">
        <w:tab/>
      </w:r>
      <w:r w:rsidR="004C481E" w:rsidRPr="007D4222">
        <w:t>Option 2</w:t>
      </w:r>
      <w:r w:rsidR="003118FE" w:rsidRPr="007D4222">
        <w:t xml:space="preserve">: </w:t>
      </w:r>
      <w:r w:rsidR="00B51948">
        <w:t>P</w:t>
      </w:r>
      <w:r w:rsidR="003C4650" w:rsidRPr="007D4222">
        <w:t>rescriptive approach</w:t>
      </w:r>
      <w:bookmarkEnd w:id="50"/>
    </w:p>
    <w:p w14:paraId="17D6C7C1" w14:textId="65FBBD78" w:rsidR="007D4222" w:rsidRDefault="002C67B1" w:rsidP="007D4222">
      <w:pPr>
        <w:rPr>
          <w:rFonts w:eastAsiaTheme="majorEastAsia"/>
        </w:rPr>
      </w:pPr>
      <w:r w:rsidRPr="002C67B1">
        <w:rPr>
          <w:rFonts w:eastAsiaTheme="majorEastAsia"/>
        </w:rPr>
        <w:t>During the course of public consultation</w:t>
      </w:r>
      <w:r w:rsidR="00653A32">
        <w:rPr>
          <w:rFonts w:eastAsiaTheme="majorEastAsia"/>
        </w:rPr>
        <w:t>,</w:t>
      </w:r>
      <w:r w:rsidRPr="002C67B1">
        <w:rPr>
          <w:rFonts w:eastAsiaTheme="majorEastAsia"/>
        </w:rPr>
        <w:t xml:space="preserve"> and submissions received in response to FSANZ’s initial consultation paper</w:t>
      </w:r>
      <w:r w:rsidRPr="002C67B1">
        <w:rPr>
          <w:rFonts w:eastAsiaTheme="majorEastAsia"/>
          <w:vertAlign w:val="superscript"/>
        </w:rPr>
        <w:footnoteReference w:id="19"/>
      </w:r>
      <w:r w:rsidRPr="002C67B1">
        <w:rPr>
          <w:rFonts w:eastAsiaTheme="majorEastAsia"/>
        </w:rPr>
        <w:t>, FSANZ considered whether a purely prescriptive approach, including either a pre-market assessment or recognition of other countries regulations in the Code would be an appropriate option for Australia and New Zealand</w:t>
      </w:r>
      <w:r w:rsidR="00462A77">
        <w:rPr>
          <w:rFonts w:eastAsiaTheme="majorEastAsia"/>
        </w:rPr>
        <w:t xml:space="preserve">. </w:t>
      </w:r>
      <w:r w:rsidR="004F66F3">
        <w:rPr>
          <w:rFonts w:eastAsiaTheme="majorEastAsia"/>
        </w:rPr>
        <w:t>For a comparison of international regulatory approaches to CMPF see SD6.</w:t>
      </w:r>
    </w:p>
    <w:p w14:paraId="2B65CC68" w14:textId="25BA009F" w:rsidR="002C67B1" w:rsidRDefault="004F66F3" w:rsidP="007D4222">
      <w:pPr>
        <w:rPr>
          <w:rFonts w:eastAsiaTheme="majorEastAsia"/>
        </w:rPr>
      </w:pPr>
      <w:r>
        <w:rPr>
          <w:rFonts w:eastAsiaTheme="majorEastAsia"/>
        </w:rPr>
        <w:t xml:space="preserve"> </w:t>
      </w:r>
    </w:p>
    <w:p w14:paraId="6E44FBEF" w14:textId="77777777" w:rsidR="00625DB2" w:rsidRDefault="00C250AC" w:rsidP="00AD114C">
      <w:r w:rsidRPr="00C250AC">
        <w:t xml:space="preserve">Some stakeholders support application of a precautionary approach to the regulation of chemicals with associated health effects. Furthermore, they claim that the ‘lack of evidence of harm is not evidence of safety’. The responsibility should be on ‘manufacturers to prove that food packaging is safe’, rather than waiting for more definite scientific evidence that it’s unsafe. </w:t>
      </w:r>
    </w:p>
    <w:p w14:paraId="7D3A2CE6" w14:textId="77777777" w:rsidR="00625DB2" w:rsidRDefault="00625DB2" w:rsidP="00AD114C"/>
    <w:p w14:paraId="5095C17D" w14:textId="530FEBE7" w:rsidR="00625DB2" w:rsidRDefault="00C250AC" w:rsidP="00AD114C">
      <w:pPr>
        <w:rPr>
          <w:rFonts w:eastAsiaTheme="majorEastAsia"/>
        </w:rPr>
      </w:pPr>
      <w:r w:rsidRPr="00C250AC">
        <w:rPr>
          <w:rFonts w:eastAsiaTheme="majorEastAsia"/>
        </w:rPr>
        <w:t xml:space="preserve">Under this </w:t>
      </w:r>
      <w:r w:rsidR="00653A32">
        <w:rPr>
          <w:rFonts w:eastAsiaTheme="majorEastAsia"/>
        </w:rPr>
        <w:t>option</w:t>
      </w:r>
      <w:r w:rsidRPr="00C250AC">
        <w:rPr>
          <w:rFonts w:eastAsiaTheme="majorEastAsia"/>
        </w:rPr>
        <w:t>, the regulatory framework would prioritise a prescriptive approach by use of positive or negative lists which would be proportional to the risk and underpinned by a robust risk assessment.</w:t>
      </w:r>
    </w:p>
    <w:p w14:paraId="3BD96AD7" w14:textId="77777777" w:rsidR="00625DB2" w:rsidRPr="00AD114C" w:rsidRDefault="00625DB2" w:rsidP="00AD114C"/>
    <w:p w14:paraId="2EA149C4" w14:textId="12A12DB8" w:rsidR="00625DB2" w:rsidRPr="00625DB2" w:rsidRDefault="00625DB2" w:rsidP="00AD114C">
      <w:pPr>
        <w:rPr>
          <w:rFonts w:eastAsiaTheme="majorEastAsia"/>
        </w:rPr>
      </w:pPr>
      <w:r>
        <w:rPr>
          <w:rFonts w:eastAsiaTheme="majorEastAsia"/>
        </w:rPr>
        <w:t>Based on the risk profile, the current measures in the Code, state/territory and New Zealand Food Acts and control measures employed by food businesses</w:t>
      </w:r>
      <w:r w:rsidR="005F685F">
        <w:rPr>
          <w:rFonts w:eastAsiaTheme="majorEastAsia"/>
        </w:rPr>
        <w:t xml:space="preserve"> (voluntary adoption of EU/US standards</w:t>
      </w:r>
      <w:r w:rsidR="000E43A4">
        <w:rPr>
          <w:rFonts w:eastAsiaTheme="majorEastAsia"/>
        </w:rPr>
        <w:t xml:space="preserve"> and through</w:t>
      </w:r>
      <w:r w:rsidR="00C80FAB">
        <w:rPr>
          <w:rFonts w:eastAsiaTheme="majorEastAsia"/>
        </w:rPr>
        <w:t>-</w:t>
      </w:r>
      <w:r w:rsidR="000E43A4">
        <w:rPr>
          <w:rFonts w:eastAsiaTheme="majorEastAsia"/>
        </w:rPr>
        <w:t>chain quality control systems</w:t>
      </w:r>
      <w:r w:rsidR="005F685F">
        <w:rPr>
          <w:rFonts w:eastAsiaTheme="majorEastAsia"/>
        </w:rPr>
        <w:t>)</w:t>
      </w:r>
      <w:r>
        <w:rPr>
          <w:rFonts w:eastAsiaTheme="majorEastAsia"/>
        </w:rPr>
        <w:t xml:space="preserve">, </w:t>
      </w:r>
      <w:r w:rsidR="00653A32" w:rsidRPr="00D63EFD">
        <w:rPr>
          <w:rFonts w:eastAsiaTheme="majorEastAsia"/>
        </w:rPr>
        <w:t>the residual risk is currently low.</w:t>
      </w:r>
      <w:r w:rsidR="00653A32">
        <w:rPr>
          <w:rFonts w:eastAsiaTheme="majorEastAsia"/>
        </w:rPr>
        <w:t xml:space="preserve"> Consequently, </w:t>
      </w:r>
      <w:r>
        <w:rPr>
          <w:rFonts w:eastAsiaTheme="majorEastAsia"/>
        </w:rPr>
        <w:t>FSANZ assess</w:t>
      </w:r>
      <w:r w:rsidR="00653A32">
        <w:rPr>
          <w:rFonts w:eastAsiaTheme="majorEastAsia"/>
        </w:rPr>
        <w:t xml:space="preserve">es </w:t>
      </w:r>
      <w:r>
        <w:rPr>
          <w:rFonts w:eastAsiaTheme="majorEastAsia"/>
        </w:rPr>
        <w:t xml:space="preserve">that a </w:t>
      </w:r>
      <w:r w:rsidRPr="007E43DE">
        <w:rPr>
          <w:rFonts w:eastAsiaTheme="majorEastAsia"/>
        </w:rPr>
        <w:t>purely prescriptive</w:t>
      </w:r>
      <w:r>
        <w:rPr>
          <w:rFonts w:eastAsiaTheme="majorEastAsia"/>
        </w:rPr>
        <w:t xml:space="preserve"> </w:t>
      </w:r>
      <w:r w:rsidRPr="007E43DE">
        <w:rPr>
          <w:rFonts w:eastAsiaTheme="majorEastAsia"/>
        </w:rPr>
        <w:t xml:space="preserve">approach </w:t>
      </w:r>
      <w:r w:rsidR="00653A32">
        <w:rPr>
          <w:rFonts w:eastAsiaTheme="majorEastAsia"/>
        </w:rPr>
        <w:t xml:space="preserve">to managing CMPF </w:t>
      </w:r>
      <w:r w:rsidRPr="007E43DE">
        <w:rPr>
          <w:rFonts w:eastAsiaTheme="majorEastAsia"/>
        </w:rPr>
        <w:t xml:space="preserve">is </w:t>
      </w:r>
      <w:r>
        <w:rPr>
          <w:rFonts w:eastAsiaTheme="majorEastAsia"/>
        </w:rPr>
        <w:t>not warranted in Australia or New Zealand</w:t>
      </w:r>
      <w:r w:rsidR="00653A32">
        <w:rPr>
          <w:rFonts w:eastAsiaTheme="majorEastAsia"/>
        </w:rPr>
        <w:t xml:space="preserve">. </w:t>
      </w:r>
    </w:p>
    <w:p w14:paraId="1B9E8307" w14:textId="77777777" w:rsidR="00625DB2" w:rsidRDefault="00625DB2" w:rsidP="00AD114C">
      <w:pPr>
        <w:rPr>
          <w:lang w:bidi="ar-SA"/>
        </w:rPr>
      </w:pPr>
    </w:p>
    <w:p w14:paraId="2DB32BDD" w14:textId="6814D88A" w:rsidR="00F17EAA" w:rsidRPr="00AD114C" w:rsidRDefault="00AA797C" w:rsidP="00307CB3">
      <w:pPr>
        <w:rPr>
          <w:lang w:bidi="ar-SA"/>
        </w:rPr>
      </w:pPr>
      <w:r>
        <w:rPr>
          <w:lang w:bidi="ar-SA"/>
        </w:rPr>
        <w:t>T</w:t>
      </w:r>
      <w:r w:rsidR="00625DB2">
        <w:rPr>
          <w:lang w:bidi="ar-SA"/>
        </w:rPr>
        <w:t xml:space="preserve">here may be </w:t>
      </w:r>
      <w:r w:rsidR="00625DB2" w:rsidRPr="00625DB2">
        <w:rPr>
          <w:lang w:bidi="ar-SA"/>
        </w:rPr>
        <w:t xml:space="preserve">legal issues in recognising </w:t>
      </w:r>
      <w:r w:rsidR="00E11AA4" w:rsidRPr="00625DB2">
        <w:rPr>
          <w:lang w:bidi="ar-SA"/>
        </w:rPr>
        <w:t>other countries</w:t>
      </w:r>
      <w:r w:rsidR="00625DB2" w:rsidRPr="00625DB2">
        <w:rPr>
          <w:lang w:bidi="ar-SA"/>
        </w:rPr>
        <w:t>’ regulations in the Code as it may lead to contestability in a court to establish whether or not FSANZ had been able to satisfy itself that the best available scientific evidence was used</w:t>
      </w:r>
      <w:r w:rsidR="00C140F8">
        <w:rPr>
          <w:lang w:bidi="ar-SA"/>
        </w:rPr>
        <w:t xml:space="preserve"> in establishing standards in other countries</w:t>
      </w:r>
      <w:r w:rsidR="00625DB2" w:rsidRPr="00625DB2">
        <w:rPr>
          <w:lang w:bidi="ar-SA"/>
        </w:rPr>
        <w:t xml:space="preserve">, particularly if all the risk assessments were not available. </w:t>
      </w:r>
      <w:r>
        <w:rPr>
          <w:lang w:bidi="ar-SA"/>
        </w:rPr>
        <w:t xml:space="preserve">In addition, the EU and US regulations do not cover all packaging materials. </w:t>
      </w:r>
    </w:p>
    <w:p w14:paraId="1F3F946E" w14:textId="457AD813" w:rsidR="00811C0B" w:rsidRDefault="00811C0B" w:rsidP="00307CB3">
      <w:pPr>
        <w:rPr>
          <w:rFonts w:eastAsiaTheme="majorEastAsia" w:cs="Arial"/>
          <w:bCs/>
        </w:rPr>
      </w:pPr>
      <w:r>
        <w:rPr>
          <w:rFonts w:eastAsiaTheme="majorEastAsia" w:cs="Arial"/>
          <w:bCs/>
        </w:rPr>
        <w:br w:type="page"/>
      </w:r>
    </w:p>
    <w:p w14:paraId="2F8F2925" w14:textId="07928098" w:rsidR="00AE4AD2" w:rsidRDefault="005C4BD7" w:rsidP="00AE4AD2">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B65CB">
        <w:rPr>
          <w:b/>
        </w:rPr>
        <w:lastRenderedPageBreak/>
        <w:t>Question:</w:t>
      </w:r>
    </w:p>
    <w:p w14:paraId="602567C2" w14:textId="77777777" w:rsidR="009C2440" w:rsidRPr="006E2AC4" w:rsidRDefault="009C2440" w:rsidP="00AE4AD2">
      <w:pPr>
        <w:pBdr>
          <w:top w:val="single" w:sz="4" w:space="1" w:color="auto"/>
          <w:left w:val="single" w:sz="4" w:space="4" w:color="auto"/>
          <w:bottom w:val="single" w:sz="4" w:space="1" w:color="auto"/>
          <w:right w:val="single" w:sz="4" w:space="4" w:color="auto"/>
        </w:pBdr>
        <w:shd w:val="clear" w:color="auto" w:fill="EAF1DD" w:themeFill="accent3" w:themeFillTint="33"/>
        <w:rPr>
          <w:b/>
        </w:rPr>
      </w:pPr>
    </w:p>
    <w:p w14:paraId="52C376BB" w14:textId="738E5E8C" w:rsidR="00D638CE" w:rsidRPr="00AD114C" w:rsidRDefault="009B49B6" w:rsidP="00AD114C">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eastAsiaTheme="majorEastAsia" w:cs="Arial"/>
          <w:bCs/>
        </w:rPr>
      </w:pPr>
      <w:r>
        <w:rPr>
          <w:rFonts w:eastAsiaTheme="majorEastAsia" w:cs="Arial"/>
          <w:bCs/>
        </w:rPr>
        <w:t>Q5</w:t>
      </w:r>
      <w:r w:rsidR="005C4BD7">
        <w:rPr>
          <w:rFonts w:eastAsiaTheme="majorEastAsia" w:cs="Arial"/>
          <w:bCs/>
        </w:rPr>
        <w:tab/>
      </w:r>
      <w:r w:rsidR="00881502">
        <w:rPr>
          <w:rFonts w:eastAsiaTheme="majorEastAsia" w:cs="Arial"/>
          <w:bCs/>
        </w:rPr>
        <w:t xml:space="preserve">If you </w:t>
      </w:r>
      <w:r w:rsidR="008C7E7C">
        <w:rPr>
          <w:rFonts w:eastAsiaTheme="majorEastAsia" w:cs="Arial"/>
          <w:bCs/>
        </w:rPr>
        <w:t xml:space="preserve">consider that </w:t>
      </w:r>
      <w:r w:rsidR="001E63F4">
        <w:rPr>
          <w:rFonts w:eastAsiaTheme="majorEastAsia" w:cs="Arial"/>
          <w:bCs/>
        </w:rPr>
        <w:t xml:space="preserve">a </w:t>
      </w:r>
      <w:r w:rsidR="008C7E7C">
        <w:rPr>
          <w:rFonts w:eastAsiaTheme="majorEastAsia" w:cs="Arial"/>
          <w:bCs/>
        </w:rPr>
        <w:t xml:space="preserve">prescriptive approach </w:t>
      </w:r>
      <w:r w:rsidR="00B07029">
        <w:rPr>
          <w:rFonts w:eastAsiaTheme="majorEastAsia" w:cs="Arial"/>
          <w:bCs/>
        </w:rPr>
        <w:t xml:space="preserve">is </w:t>
      </w:r>
      <w:r w:rsidR="00D6334A">
        <w:rPr>
          <w:rFonts w:eastAsiaTheme="majorEastAsia" w:cs="Arial"/>
          <w:bCs/>
        </w:rPr>
        <w:t>the most appropriate</w:t>
      </w:r>
      <w:r w:rsidR="00D03D24">
        <w:rPr>
          <w:rFonts w:eastAsiaTheme="majorEastAsia" w:cs="Arial"/>
          <w:bCs/>
        </w:rPr>
        <w:t xml:space="preserve"> option</w:t>
      </w:r>
      <w:r w:rsidR="000B3C01">
        <w:rPr>
          <w:rFonts w:eastAsiaTheme="majorEastAsia" w:cs="Arial"/>
          <w:bCs/>
        </w:rPr>
        <w:t xml:space="preserve"> as per either the US/and/or EU </w:t>
      </w:r>
      <w:r w:rsidR="00584E9D">
        <w:rPr>
          <w:rFonts w:eastAsiaTheme="majorEastAsia" w:cs="Arial"/>
          <w:bCs/>
        </w:rPr>
        <w:t>approach</w:t>
      </w:r>
      <w:r w:rsidR="00E11AA4">
        <w:rPr>
          <w:rFonts w:eastAsiaTheme="majorEastAsia" w:cs="Arial"/>
          <w:bCs/>
        </w:rPr>
        <w:t>, FSANZ</w:t>
      </w:r>
      <w:r w:rsidR="00B22F67">
        <w:rPr>
          <w:rFonts w:eastAsiaTheme="majorEastAsia" w:cs="Arial"/>
          <w:bCs/>
        </w:rPr>
        <w:t xml:space="preserve"> invites you to elaborate on </w:t>
      </w:r>
      <w:r w:rsidR="008C7E7C">
        <w:rPr>
          <w:rFonts w:eastAsiaTheme="majorEastAsia" w:cs="Arial"/>
          <w:bCs/>
        </w:rPr>
        <w:t>those reasons</w:t>
      </w:r>
      <w:r w:rsidR="00E76ACC">
        <w:rPr>
          <w:rFonts w:eastAsiaTheme="majorEastAsia" w:cs="Arial"/>
          <w:bCs/>
        </w:rPr>
        <w:t xml:space="preserve">. </w:t>
      </w:r>
      <w:r w:rsidR="00321466">
        <w:rPr>
          <w:rFonts w:eastAsiaTheme="majorEastAsia" w:cs="Arial"/>
          <w:bCs/>
        </w:rPr>
        <w:t>Specifically,</w:t>
      </w:r>
      <w:r w:rsidR="00583C33">
        <w:rPr>
          <w:rFonts w:eastAsiaTheme="majorEastAsia" w:cs="Arial"/>
          <w:bCs/>
        </w:rPr>
        <w:t xml:space="preserve"> please provide</w:t>
      </w:r>
      <w:r w:rsidR="00321466">
        <w:rPr>
          <w:rFonts w:eastAsiaTheme="majorEastAsia" w:cs="Arial"/>
          <w:bCs/>
        </w:rPr>
        <w:t xml:space="preserve"> the pros and cons of this position in order to further identify costs and benefits </w:t>
      </w:r>
      <w:r w:rsidR="00746384">
        <w:rPr>
          <w:rFonts w:eastAsiaTheme="majorEastAsia" w:cs="Arial"/>
          <w:bCs/>
        </w:rPr>
        <w:t xml:space="preserve">for consumers, industry and government </w:t>
      </w:r>
      <w:r w:rsidR="00321466">
        <w:rPr>
          <w:rFonts w:eastAsiaTheme="majorEastAsia" w:cs="Arial"/>
          <w:bCs/>
        </w:rPr>
        <w:t>of taking a prescriptive approach?</w:t>
      </w:r>
    </w:p>
    <w:p w14:paraId="02970E35" w14:textId="3ECF017B" w:rsidR="006A7E2B" w:rsidRDefault="00114E98" w:rsidP="006A7E2B">
      <w:pPr>
        <w:pStyle w:val="Heading3"/>
        <w:ind w:left="1200" w:hanging="1140"/>
      </w:pPr>
      <w:bookmarkStart w:id="51" w:name="_Toc452645334"/>
      <w:r w:rsidRPr="00114E98">
        <w:t>2.</w:t>
      </w:r>
      <w:r w:rsidR="00CB36C3">
        <w:t>3.3</w:t>
      </w:r>
      <w:r w:rsidRPr="00114E98">
        <w:tab/>
        <w:t xml:space="preserve">Option </w:t>
      </w:r>
      <w:r w:rsidR="00F42D04">
        <w:t>3</w:t>
      </w:r>
      <w:r w:rsidRPr="00114E98">
        <w:t>: Non-regulatory approach</w:t>
      </w:r>
      <w:r w:rsidR="003F576F">
        <w:t>es</w:t>
      </w:r>
      <w:bookmarkEnd w:id="51"/>
    </w:p>
    <w:p w14:paraId="519563FC" w14:textId="54F0A43A" w:rsidR="00C376B4" w:rsidRDefault="005E31A0" w:rsidP="009C2440">
      <w:r>
        <w:t>This option envisages us</w:t>
      </w:r>
      <w:r w:rsidR="007251CA">
        <w:t xml:space="preserve">ing </w:t>
      </w:r>
      <w:r w:rsidR="004F0B21">
        <w:t xml:space="preserve">non-regulatory </w:t>
      </w:r>
      <w:r w:rsidR="00BB7FC5">
        <w:t xml:space="preserve">approaches </w:t>
      </w:r>
      <w:r>
        <w:t xml:space="preserve">either </w:t>
      </w:r>
      <w:r w:rsidR="004F0B21">
        <w:t xml:space="preserve">by </w:t>
      </w:r>
      <w:r w:rsidR="00114E98" w:rsidRPr="006A7E2B">
        <w:t>education (</w:t>
      </w:r>
      <w:r>
        <w:t xml:space="preserve">via </w:t>
      </w:r>
      <w:r w:rsidR="000B5721">
        <w:t>information/</w:t>
      </w:r>
      <w:r w:rsidR="00173870">
        <w:t>awareness</w:t>
      </w:r>
      <w:r>
        <w:t xml:space="preserve"> programs</w:t>
      </w:r>
      <w:r w:rsidR="00173870">
        <w:t xml:space="preserve">) </w:t>
      </w:r>
      <w:r w:rsidR="00C81CB9">
        <w:t>(option 3</w:t>
      </w:r>
      <w:r w:rsidR="00873D11">
        <w:t xml:space="preserve">a); </w:t>
      </w:r>
      <w:r w:rsidR="00114E98" w:rsidRPr="006A7E2B">
        <w:t>and/</w:t>
      </w:r>
      <w:r w:rsidR="006A7E2B" w:rsidRPr="006A7E2B">
        <w:t>or industry self-regulation</w:t>
      </w:r>
      <w:r w:rsidR="00873D11">
        <w:t xml:space="preserve"> by </w:t>
      </w:r>
      <w:r w:rsidR="00990BEF">
        <w:t xml:space="preserve">the available </w:t>
      </w:r>
      <w:r w:rsidR="00006FEA">
        <w:t xml:space="preserve">industry standards or </w:t>
      </w:r>
      <w:r w:rsidR="004876B0">
        <w:t>c</w:t>
      </w:r>
      <w:r w:rsidR="003F576F">
        <w:t xml:space="preserve">odes of </w:t>
      </w:r>
      <w:r w:rsidR="004876B0">
        <w:t>p</w:t>
      </w:r>
      <w:r w:rsidR="003F576F">
        <w:t xml:space="preserve">ractice </w:t>
      </w:r>
      <w:r w:rsidR="00C81CB9">
        <w:t>(option 3</w:t>
      </w:r>
      <w:r w:rsidR="00873D11">
        <w:t xml:space="preserve">b) </w:t>
      </w:r>
      <w:r w:rsidR="008D2C28">
        <w:t>and/</w:t>
      </w:r>
      <w:r w:rsidR="003F576F">
        <w:t xml:space="preserve">or </w:t>
      </w:r>
      <w:r w:rsidR="00873D11" w:rsidRPr="006A7E2B">
        <w:t>industry self-regulation</w:t>
      </w:r>
      <w:r w:rsidR="00873D11">
        <w:t xml:space="preserve"> by a </w:t>
      </w:r>
      <w:r w:rsidR="004876B0">
        <w:t>c</w:t>
      </w:r>
      <w:r w:rsidR="006A7E2B" w:rsidRPr="006A7E2B">
        <w:t>o-</w:t>
      </w:r>
      <w:r w:rsidR="00114E98" w:rsidRPr="006A7E2B">
        <w:t>regu</w:t>
      </w:r>
      <w:r w:rsidR="00C81CB9">
        <w:t>latory approach (Option 3</w:t>
      </w:r>
      <w:r w:rsidR="00873D11">
        <w:t>c)</w:t>
      </w:r>
      <w:r w:rsidR="00E76ACC">
        <w:t xml:space="preserve">. </w:t>
      </w:r>
    </w:p>
    <w:p w14:paraId="29ADCAB6" w14:textId="77777777" w:rsidR="00CF65D7" w:rsidRDefault="00CF65D7" w:rsidP="00D34930"/>
    <w:p w14:paraId="56535978" w14:textId="7A052FA6" w:rsidR="00D96DCD" w:rsidRDefault="00D96DCD" w:rsidP="00D34930">
      <w:pPr>
        <w:rPr>
          <w:b/>
        </w:rPr>
      </w:pPr>
      <w:r>
        <w:t xml:space="preserve">These </w:t>
      </w:r>
      <w:r w:rsidR="000F164A">
        <w:t xml:space="preserve">non-regulatory </w:t>
      </w:r>
      <w:r>
        <w:t xml:space="preserve">options do not </w:t>
      </w:r>
      <w:r w:rsidR="006374FA">
        <w:t xml:space="preserve">specifically </w:t>
      </w:r>
      <w:r>
        <w:t>address how potential unknown</w:t>
      </w:r>
      <w:r w:rsidR="004F7BD7">
        <w:t xml:space="preserve"> risks </w:t>
      </w:r>
      <w:r>
        <w:t>from CMPF would be managed</w:t>
      </w:r>
      <w:r w:rsidR="00462A77">
        <w:t xml:space="preserve">. </w:t>
      </w:r>
      <w:r w:rsidR="00C547C8">
        <w:t>R</w:t>
      </w:r>
      <w:r w:rsidR="0003650E">
        <w:t xml:space="preserve">eliance upon industry </w:t>
      </w:r>
      <w:r w:rsidR="00A8777A">
        <w:t>monitoring, evaluation and self-reporting</w:t>
      </w:r>
      <w:r w:rsidR="00C547C8">
        <w:t xml:space="preserve"> would be needed</w:t>
      </w:r>
      <w:r w:rsidR="00A8777A">
        <w:t>.</w:t>
      </w:r>
      <w:r>
        <w:t xml:space="preserve"> </w:t>
      </w:r>
    </w:p>
    <w:p w14:paraId="6DDEF7DC" w14:textId="7A4A30F1" w:rsidR="003F576F" w:rsidRPr="008B63F3" w:rsidRDefault="00C81CB9" w:rsidP="006C19EF">
      <w:pPr>
        <w:pStyle w:val="Heading4"/>
      </w:pPr>
      <w:r>
        <w:t>Option 3</w:t>
      </w:r>
      <w:r w:rsidR="003F576F">
        <w:t xml:space="preserve">a: </w:t>
      </w:r>
      <w:r w:rsidR="003F576F" w:rsidRPr="008B63F3">
        <w:t>Education/Awareness</w:t>
      </w:r>
      <w:r w:rsidR="008D531A">
        <w:t>/Information programs</w:t>
      </w:r>
      <w:r w:rsidR="003F576F" w:rsidRPr="008B63F3">
        <w:t xml:space="preserve"> </w:t>
      </w:r>
    </w:p>
    <w:p w14:paraId="2E204316" w14:textId="60FB0A02" w:rsidR="00D34930" w:rsidRPr="00A5120E" w:rsidRDefault="007251CA" w:rsidP="00D34930">
      <w:r>
        <w:t>Most</w:t>
      </w:r>
      <w:r w:rsidR="00D34930" w:rsidRPr="00A5120E">
        <w:t xml:space="preserve"> businesses surveyed show some level of awareness </w:t>
      </w:r>
      <w:r w:rsidR="0074111B">
        <w:t xml:space="preserve">of CMPF </w:t>
      </w:r>
      <w:r w:rsidR="00D34930" w:rsidRPr="00A5120E">
        <w:t>and have (as a minimum) basic control measures in place (e.g. HACCP</w:t>
      </w:r>
      <w:r w:rsidR="00D34930">
        <w:t>)</w:t>
      </w:r>
      <w:r w:rsidR="00E76ACC">
        <w:t xml:space="preserve">. </w:t>
      </w:r>
      <w:r w:rsidR="007960B8">
        <w:t xml:space="preserve">Overall </w:t>
      </w:r>
      <w:r w:rsidR="00D34930">
        <w:t xml:space="preserve">there is </w:t>
      </w:r>
      <w:r w:rsidR="00D34930" w:rsidRPr="00A5120E">
        <w:t xml:space="preserve">reliance </w:t>
      </w:r>
      <w:r w:rsidR="007960B8">
        <w:t xml:space="preserve">by food businesses </w:t>
      </w:r>
      <w:r w:rsidR="00D34930" w:rsidRPr="00A5120E">
        <w:t>on through-chain stewardship and trusted suppliers.</w:t>
      </w:r>
    </w:p>
    <w:p w14:paraId="26BA7B8F" w14:textId="77777777" w:rsidR="00D34930" w:rsidRPr="00A5120E" w:rsidRDefault="00D34930" w:rsidP="00D34930"/>
    <w:p w14:paraId="5B22EB3F" w14:textId="715BEF1B" w:rsidR="00D34930" w:rsidRPr="00A5120E" w:rsidRDefault="00D34930" w:rsidP="00D34930">
      <w:r w:rsidRPr="00A5120E">
        <w:t>However, FSANZ has identified a lack of awareness from some food manufacture</w:t>
      </w:r>
      <w:r w:rsidR="00583C33">
        <w:t>r</w:t>
      </w:r>
      <w:r w:rsidR="009D19A0">
        <w:t>’</w:t>
      </w:r>
      <w:r w:rsidRPr="00A5120E">
        <w:t xml:space="preserve">s </w:t>
      </w:r>
      <w:r w:rsidR="00F47A06">
        <w:t>businesses</w:t>
      </w:r>
      <w:r w:rsidR="00814B86">
        <w:t xml:space="preserve"> </w:t>
      </w:r>
      <w:r w:rsidR="000827F0">
        <w:t>of risks of CMPF</w:t>
      </w:r>
      <w:r w:rsidR="00E76ACC">
        <w:t xml:space="preserve">. </w:t>
      </w:r>
      <w:r w:rsidR="000827F0">
        <w:t>R</w:t>
      </w:r>
      <w:r w:rsidRPr="00A5120E">
        <w:t xml:space="preserve">aising awareness with </w:t>
      </w:r>
      <w:r>
        <w:t xml:space="preserve">both </w:t>
      </w:r>
      <w:r w:rsidRPr="00A5120E">
        <w:t>packaging manufacturers and importers</w:t>
      </w:r>
      <w:r w:rsidR="00817192">
        <w:t xml:space="preserve"> of packaging</w:t>
      </w:r>
      <w:r w:rsidRPr="00A5120E">
        <w:t xml:space="preserve"> and food manufacture</w:t>
      </w:r>
      <w:r w:rsidR="00583C33">
        <w:t>r</w:t>
      </w:r>
      <w:r w:rsidRPr="00A5120E">
        <w:t xml:space="preserve">s to consider the safety of CMPF is a positive </w:t>
      </w:r>
      <w:r>
        <w:t xml:space="preserve">and practical </w:t>
      </w:r>
      <w:r w:rsidRPr="00A5120E">
        <w:t xml:space="preserve">measure. </w:t>
      </w:r>
    </w:p>
    <w:p w14:paraId="65A7C8F8" w14:textId="77777777" w:rsidR="00D34930" w:rsidRPr="00A5120E" w:rsidRDefault="00D34930" w:rsidP="00D34930"/>
    <w:p w14:paraId="63BE866B" w14:textId="004A976C" w:rsidR="00D34930" w:rsidRDefault="00D34930" w:rsidP="00D34930">
      <w:pPr>
        <w:rPr>
          <w:color w:val="0000FF" w:themeColor="hyperlink"/>
          <w:u w:val="single"/>
        </w:rPr>
      </w:pPr>
      <w:r w:rsidRPr="00A5120E">
        <w:t xml:space="preserve">Therefore, an </w:t>
      </w:r>
      <w:r w:rsidR="00817192">
        <w:t>information</w:t>
      </w:r>
      <w:r w:rsidRPr="00A5120E">
        <w:t>/awareness program facilitated by FSANZ, the AFGC/NZFGC and the packaging peak bodies (NZ Packaging Council and the Packaging Council of Australia) may serve to address specific gaps in both the knowledge and awareness of CMPF.</w:t>
      </w:r>
      <w:r w:rsidR="006C19EF" w:rsidRPr="006C19EF">
        <w:t xml:space="preserve"> </w:t>
      </w:r>
      <w:r w:rsidR="006C19EF">
        <w:t>An example of an information/awareness program</w:t>
      </w:r>
      <w:r w:rsidR="006C19EF" w:rsidRPr="00A5120E">
        <w:t xml:space="preserve"> </w:t>
      </w:r>
      <w:r w:rsidR="006C19EF">
        <w:t xml:space="preserve">on food packaging </w:t>
      </w:r>
      <w:r w:rsidR="006C19EF" w:rsidRPr="00A5120E">
        <w:t xml:space="preserve">targeted at </w:t>
      </w:r>
      <w:r w:rsidR="006C19EF">
        <w:t xml:space="preserve">SMEs has been developed by </w:t>
      </w:r>
      <w:r w:rsidR="006C19EF" w:rsidRPr="00A5120E">
        <w:t>the Food Standards Agency of Ireland</w:t>
      </w:r>
      <w:r w:rsidR="006C19EF">
        <w:rPr>
          <w:rStyle w:val="FootnoteReference"/>
        </w:rPr>
        <w:footnoteReference w:id="20"/>
      </w:r>
      <w:r w:rsidR="006C19EF">
        <w:rPr>
          <w:color w:val="0000FF" w:themeColor="hyperlink"/>
          <w:u w:val="single"/>
        </w:rPr>
        <w:t>.</w:t>
      </w:r>
    </w:p>
    <w:p w14:paraId="4E8931DC" w14:textId="77777777" w:rsidR="006C19EF" w:rsidRDefault="006C19EF" w:rsidP="00D34930"/>
    <w:p w14:paraId="64A5433C" w14:textId="096C0EE8" w:rsidR="000B5721" w:rsidRDefault="000B5721" w:rsidP="00D34930">
      <w:r>
        <w:t>FSANZ understands from its consultations</w:t>
      </w:r>
      <w:r w:rsidR="00D911ED">
        <w:t xml:space="preserve"> that any information/awareness </w:t>
      </w:r>
      <w:r w:rsidR="00E17FF1">
        <w:t xml:space="preserve">program </w:t>
      </w:r>
      <w:r w:rsidR="00484AEC">
        <w:t xml:space="preserve">could </w:t>
      </w:r>
      <w:r w:rsidR="00E17FF1">
        <w:t xml:space="preserve">be targeted at three </w:t>
      </w:r>
      <w:r w:rsidR="00F101BB">
        <w:t>key areas</w:t>
      </w:r>
      <w:r w:rsidR="00E17FF1">
        <w:t>:</w:t>
      </w:r>
    </w:p>
    <w:p w14:paraId="544071BE" w14:textId="77777777" w:rsidR="00E17FF1" w:rsidRDefault="00E17FF1" w:rsidP="00D34930"/>
    <w:p w14:paraId="7FAC5D35" w14:textId="3D78378D" w:rsidR="00E17FF1" w:rsidRDefault="00814B86" w:rsidP="006C19EF">
      <w:pPr>
        <w:pStyle w:val="FSBullet1"/>
      </w:pPr>
      <w:r>
        <w:t>g</w:t>
      </w:r>
      <w:r w:rsidR="009A0BC1">
        <w:t xml:space="preserve">eneral information for </w:t>
      </w:r>
      <w:r w:rsidR="004D4D67">
        <w:t>consumers</w:t>
      </w:r>
    </w:p>
    <w:p w14:paraId="768212CB" w14:textId="54295011" w:rsidR="00E17FF1" w:rsidRDefault="009A0BC1" w:rsidP="006C19EF">
      <w:pPr>
        <w:pStyle w:val="FSBullet1"/>
      </w:pPr>
      <w:r>
        <w:t xml:space="preserve">the obligations </w:t>
      </w:r>
      <w:r w:rsidR="00E17FF1">
        <w:t xml:space="preserve">on </w:t>
      </w:r>
      <w:r>
        <w:t xml:space="preserve">food </w:t>
      </w:r>
      <w:r w:rsidR="00E17FF1">
        <w:t xml:space="preserve">businesses </w:t>
      </w:r>
      <w:r w:rsidR="001050FE">
        <w:t xml:space="preserve">(particularly SMEs) </w:t>
      </w:r>
      <w:r w:rsidR="00E17FF1">
        <w:t>to use safe packaging materials</w:t>
      </w:r>
    </w:p>
    <w:p w14:paraId="6E7CC024" w14:textId="6DFB12E0" w:rsidR="00E17FF1" w:rsidRDefault="00814B86" w:rsidP="006C19EF">
      <w:pPr>
        <w:pStyle w:val="FSBullet1"/>
      </w:pPr>
      <w:r>
        <w:t>h</w:t>
      </w:r>
      <w:r w:rsidR="00E17FF1">
        <w:t xml:space="preserve">ow a business meets </w:t>
      </w:r>
      <w:r w:rsidR="005142A5">
        <w:t xml:space="preserve">those </w:t>
      </w:r>
      <w:r w:rsidR="00E17FF1">
        <w:t xml:space="preserve">obligations in the state, territory and New Zealand food regulations and current standards in the Code to ensure the safety of packaging materials. </w:t>
      </w:r>
    </w:p>
    <w:p w14:paraId="59ADD4E1" w14:textId="77777777" w:rsidR="00F50448" w:rsidRPr="00F50448" w:rsidRDefault="00F50448" w:rsidP="00F50448">
      <w:pPr>
        <w:rPr>
          <w:lang w:bidi="ar-SA"/>
        </w:rPr>
      </w:pPr>
    </w:p>
    <w:p w14:paraId="26EFE782" w14:textId="77777777" w:rsidR="00EE7ECC" w:rsidRDefault="004876B0" w:rsidP="00811C0B">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b/>
        </w:rPr>
      </w:pPr>
      <w:r w:rsidRPr="007B65CB">
        <w:rPr>
          <w:b/>
        </w:rPr>
        <w:t>Question</w:t>
      </w:r>
      <w:r>
        <w:rPr>
          <w:b/>
        </w:rPr>
        <w:t>s</w:t>
      </w:r>
      <w:r w:rsidRPr="007B65CB">
        <w:rPr>
          <w:b/>
        </w:rPr>
        <w:t>:</w:t>
      </w:r>
    </w:p>
    <w:p w14:paraId="0B6AD5D1" w14:textId="77777777" w:rsidR="00EE7ECC" w:rsidRDefault="00EE7ECC" w:rsidP="00811C0B">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b/>
        </w:rPr>
      </w:pPr>
    </w:p>
    <w:p w14:paraId="1AB3474B" w14:textId="07686E9A" w:rsidR="004B5479" w:rsidRDefault="009B49B6" w:rsidP="00811C0B">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rPr>
      </w:pPr>
      <w:r>
        <w:t>Q6</w:t>
      </w:r>
      <w:r w:rsidR="004876B0">
        <w:tab/>
      </w:r>
      <w:r w:rsidR="00EE7ECC" w:rsidRPr="00EE7ECC">
        <w:rPr>
          <w:lang w:eastAsia="en-AU"/>
        </w:rPr>
        <w:t>What do you see as the costs/benefits of this option for consumers, industry and government? Do you consider it would ensure industry has adequate knowledge of the risks from CMPF and implemented available risk mitigation measures?</w:t>
      </w:r>
    </w:p>
    <w:p w14:paraId="3689B184" w14:textId="77777777" w:rsidR="004B5479" w:rsidRDefault="004B5479" w:rsidP="00811C0B">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rPr>
      </w:pPr>
    </w:p>
    <w:p w14:paraId="599A2C99" w14:textId="4323608A" w:rsidR="00D34930" w:rsidRDefault="009B49B6" w:rsidP="00811C0B">
      <w:pPr>
        <w:pageBreakBefore/>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rPr>
      </w:pPr>
      <w:r>
        <w:rPr>
          <w:lang w:eastAsia="en-AU"/>
        </w:rPr>
        <w:lastRenderedPageBreak/>
        <w:t>Q7</w:t>
      </w:r>
      <w:r w:rsidR="004876B0">
        <w:rPr>
          <w:lang w:eastAsia="en-AU"/>
        </w:rPr>
        <w:tab/>
      </w:r>
      <w:r w:rsidR="006566BE">
        <w:rPr>
          <w:lang w:eastAsia="en-AU"/>
        </w:rPr>
        <w:t>Focusing on</w:t>
      </w:r>
      <w:r w:rsidR="00F101BB">
        <w:rPr>
          <w:lang w:eastAsia="en-AU"/>
        </w:rPr>
        <w:t xml:space="preserve"> the three key areas outlined above, w</w:t>
      </w:r>
      <w:r w:rsidR="00D34930" w:rsidRPr="00821340">
        <w:rPr>
          <w:lang w:eastAsia="en-AU"/>
        </w:rPr>
        <w:t>hat inform</w:t>
      </w:r>
      <w:r w:rsidR="006566BE">
        <w:rPr>
          <w:lang w:eastAsia="en-AU"/>
        </w:rPr>
        <w:t xml:space="preserve">ation do you think </w:t>
      </w:r>
      <w:r w:rsidR="00DF7F1D">
        <w:rPr>
          <w:lang w:eastAsia="en-AU"/>
        </w:rPr>
        <w:t xml:space="preserve">would be the most suitable to include </w:t>
      </w:r>
      <w:r w:rsidR="006566BE">
        <w:rPr>
          <w:lang w:eastAsia="en-AU"/>
        </w:rPr>
        <w:t xml:space="preserve">in </w:t>
      </w:r>
      <w:r w:rsidR="00D03A8C">
        <w:t>an information/awareness progr</w:t>
      </w:r>
      <w:r w:rsidR="00D03A8C">
        <w:rPr>
          <w:lang w:eastAsia="en-AU"/>
        </w:rPr>
        <w:t>am</w:t>
      </w:r>
      <w:r w:rsidR="00D34930" w:rsidRPr="00821340">
        <w:rPr>
          <w:lang w:eastAsia="en-AU"/>
        </w:rPr>
        <w:t>?</w:t>
      </w:r>
    </w:p>
    <w:p w14:paraId="428497CF" w14:textId="16D5B788" w:rsidR="001C711D" w:rsidRDefault="001C711D" w:rsidP="00811C0B">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u w:val="single"/>
          <w:lang w:eastAsia="en-AU"/>
        </w:rPr>
      </w:pPr>
    </w:p>
    <w:p w14:paraId="0418F28A" w14:textId="75D68E70" w:rsidR="001C711D" w:rsidRPr="005530FA" w:rsidRDefault="009B49B6" w:rsidP="00811C0B">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rPr>
      </w:pPr>
      <w:r w:rsidRPr="001C711D">
        <w:rPr>
          <w:lang w:eastAsia="en-AU"/>
        </w:rPr>
        <w:t>Q</w:t>
      </w:r>
      <w:r>
        <w:rPr>
          <w:lang w:eastAsia="en-AU"/>
        </w:rPr>
        <w:t>8</w:t>
      </w:r>
      <w:r w:rsidR="004876B0">
        <w:rPr>
          <w:lang w:eastAsia="en-AU"/>
        </w:rPr>
        <w:tab/>
      </w:r>
      <w:r w:rsidR="001C711D" w:rsidRPr="001C711D">
        <w:rPr>
          <w:lang w:eastAsia="en-AU"/>
        </w:rPr>
        <w:t xml:space="preserve">Do you agree that </w:t>
      </w:r>
      <w:r w:rsidR="001C711D">
        <w:rPr>
          <w:lang w:eastAsia="en-AU"/>
        </w:rPr>
        <w:t xml:space="preserve">FSANZ, the AFGC/NZFGC and packaging peak bodies are the most appropriate </w:t>
      </w:r>
      <w:r w:rsidR="00071481">
        <w:rPr>
          <w:lang w:eastAsia="en-AU"/>
        </w:rPr>
        <w:t xml:space="preserve">organisations </w:t>
      </w:r>
      <w:r w:rsidR="001C711D">
        <w:rPr>
          <w:lang w:eastAsia="en-AU"/>
        </w:rPr>
        <w:t xml:space="preserve">to undertake this program? </w:t>
      </w:r>
      <w:r w:rsidR="005530FA">
        <w:rPr>
          <w:lang w:eastAsia="en-AU"/>
        </w:rPr>
        <w:t xml:space="preserve">If not, can you identify other appropriate agencies, and peak bodies? </w:t>
      </w:r>
    </w:p>
    <w:p w14:paraId="27D6286F" w14:textId="03FC8918" w:rsidR="003F576F" w:rsidRDefault="00C81CB9" w:rsidP="00EE7ECC">
      <w:pPr>
        <w:pStyle w:val="Heading4"/>
      </w:pPr>
      <w:r>
        <w:t>Option 3</w:t>
      </w:r>
      <w:r w:rsidR="003F576F">
        <w:t xml:space="preserve">b: </w:t>
      </w:r>
      <w:r w:rsidR="008835C3" w:rsidRPr="004222BE">
        <w:t xml:space="preserve">Industry </w:t>
      </w:r>
      <w:r w:rsidR="008835C3">
        <w:t>s</w:t>
      </w:r>
      <w:r w:rsidR="008835C3" w:rsidRPr="004222BE">
        <w:t>elf</w:t>
      </w:r>
      <w:r w:rsidR="008835C3">
        <w:t xml:space="preserve">-regulation by industry </w:t>
      </w:r>
      <w:r w:rsidR="00B057F1">
        <w:t xml:space="preserve">standards or </w:t>
      </w:r>
      <w:r w:rsidR="00811C0B">
        <w:t>codes of practice</w:t>
      </w:r>
    </w:p>
    <w:p w14:paraId="5BB5BCE7" w14:textId="13FCFF1E" w:rsidR="0001018E" w:rsidRDefault="0001018E" w:rsidP="009C2440">
      <w:r w:rsidRPr="006A4756">
        <w:t>This option</w:t>
      </w:r>
      <w:r w:rsidR="00356899" w:rsidRPr="006A4756">
        <w:t xml:space="preserve"> is </w:t>
      </w:r>
      <w:r w:rsidRPr="006A4756">
        <w:t>characterised by industry formulating rules and codes of practice</w:t>
      </w:r>
      <w:r w:rsidR="00811C0B">
        <w:t xml:space="preserve"> (CoPs)</w:t>
      </w:r>
      <w:r w:rsidRPr="006A4756">
        <w:t xml:space="preserve">, </w:t>
      </w:r>
      <w:r w:rsidR="00714C98" w:rsidRPr="006A4756">
        <w:t>either existing or new</w:t>
      </w:r>
      <w:r w:rsidR="00654B01">
        <w:t>,</w:t>
      </w:r>
      <w:r w:rsidR="00714C98" w:rsidRPr="006A4756">
        <w:t xml:space="preserve"> </w:t>
      </w:r>
      <w:r w:rsidRPr="006A4756">
        <w:t xml:space="preserve">with industry solely responsible for </w:t>
      </w:r>
      <w:r w:rsidR="00E34D94">
        <w:t xml:space="preserve">their </w:t>
      </w:r>
      <w:r w:rsidRPr="006A4756">
        <w:t>enforcement</w:t>
      </w:r>
      <w:r w:rsidR="00E76ACC">
        <w:t xml:space="preserve">. </w:t>
      </w:r>
      <w:r w:rsidR="00C2021F" w:rsidRPr="006A4756">
        <w:t xml:space="preserve">FSANZ </w:t>
      </w:r>
      <w:r w:rsidR="001A037C">
        <w:t>raised</w:t>
      </w:r>
      <w:r w:rsidR="001A037C" w:rsidRPr="006A4756">
        <w:t xml:space="preserve"> </w:t>
      </w:r>
      <w:r w:rsidR="00C2021F" w:rsidRPr="006A4756">
        <w:t xml:space="preserve">this as one </w:t>
      </w:r>
      <w:r w:rsidR="001A037C">
        <w:t xml:space="preserve">possible </w:t>
      </w:r>
      <w:r w:rsidR="00C2021F" w:rsidRPr="006A4756">
        <w:t xml:space="preserve">option as no major public health and safety concerns have been </w:t>
      </w:r>
      <w:r w:rsidR="00EE7ECC">
        <w:t>associated with the majority of packaging chemicals</w:t>
      </w:r>
      <w:r w:rsidR="00B95007" w:rsidRPr="006A4756">
        <w:t xml:space="preserve">. </w:t>
      </w:r>
      <w:r w:rsidR="00A56FBF" w:rsidRPr="006A4756">
        <w:t xml:space="preserve">Furthermore, it may provide an incentive for individuals and companies to develop and comply with self-regulatory arrangements in order to mitigate hazards from CMPF. </w:t>
      </w:r>
    </w:p>
    <w:p w14:paraId="6FA2F82B" w14:textId="77777777" w:rsidR="00BE1FD8" w:rsidRDefault="00BE1FD8" w:rsidP="00622130"/>
    <w:p w14:paraId="3274F81D" w14:textId="4A7C34C0" w:rsidR="00622130" w:rsidRPr="00A5120E" w:rsidRDefault="00622130" w:rsidP="00622130">
      <w:r w:rsidRPr="00A5120E">
        <w:t xml:space="preserve">FSANZ’s consultation </w:t>
      </w:r>
      <w:r>
        <w:t xml:space="preserve">process </w:t>
      </w:r>
      <w:r w:rsidRPr="00A5120E">
        <w:t xml:space="preserve">identified </w:t>
      </w:r>
      <w:r>
        <w:t>that a range of</w:t>
      </w:r>
      <w:r w:rsidR="009928ED">
        <w:t xml:space="preserve"> </w:t>
      </w:r>
      <w:r w:rsidR="00B057F1">
        <w:t xml:space="preserve">industry standards or </w:t>
      </w:r>
      <w:r w:rsidRPr="00A5120E">
        <w:t>CoP</w:t>
      </w:r>
      <w:r w:rsidR="00811C0B">
        <w:t>s</w:t>
      </w:r>
      <w:r w:rsidRPr="00A5120E">
        <w:rPr>
          <w:vertAlign w:val="superscript"/>
        </w:rPr>
        <w:footnoteReference w:id="21"/>
      </w:r>
      <w:r w:rsidRPr="00A5120E">
        <w:t xml:space="preserve"> </w:t>
      </w:r>
      <w:r>
        <w:t xml:space="preserve">are </w:t>
      </w:r>
      <w:r w:rsidRPr="00A5120E">
        <w:t>used by businesses in Australia and New Zealand</w:t>
      </w:r>
      <w:r>
        <w:t>, including</w:t>
      </w:r>
      <w:r w:rsidRPr="00A5120E">
        <w:t xml:space="preserve">: </w:t>
      </w:r>
    </w:p>
    <w:p w14:paraId="4C5F3744" w14:textId="77777777" w:rsidR="00622130" w:rsidRPr="00A5120E" w:rsidRDefault="00622130" w:rsidP="00622130"/>
    <w:p w14:paraId="35C01D2B" w14:textId="3415C87A" w:rsidR="0056336F" w:rsidRDefault="0056336F" w:rsidP="00EE7ECC">
      <w:pPr>
        <w:pStyle w:val="FSBullet1"/>
      </w:pPr>
      <w:r w:rsidRPr="0056336F">
        <w:t>The Australian Standard – Plastics materials for food contact use (AS 2070-1999</w:t>
      </w:r>
      <w:r>
        <w:t>).</w:t>
      </w:r>
      <w:r w:rsidRPr="0056336F">
        <w:t xml:space="preserve"> </w:t>
      </w:r>
      <w:r>
        <w:t xml:space="preserve">This industry standard </w:t>
      </w:r>
      <w:r w:rsidRPr="0056336F">
        <w:t>applies to the manufacture of plastic materials (resins, granules and powders) and colourants for food contact use and describes procedures to be followed during the various stages of processing by manufacturers of plastics items for food contact</w:t>
      </w:r>
      <w:r w:rsidR="00006FEA">
        <w:t>, including re-worked materials</w:t>
      </w:r>
      <w:r w:rsidR="00E76ACC">
        <w:t xml:space="preserve">. </w:t>
      </w:r>
      <w:r>
        <w:t>It also references EU and US regulations.</w:t>
      </w:r>
    </w:p>
    <w:p w14:paraId="42A20612" w14:textId="77777777" w:rsidR="004876B0" w:rsidRPr="004876B0" w:rsidRDefault="004876B0" w:rsidP="00EE7ECC">
      <w:pPr>
        <w:rPr>
          <w:lang w:bidi="ar-SA"/>
        </w:rPr>
      </w:pPr>
    </w:p>
    <w:p w14:paraId="4732C8B4" w14:textId="590A9BCC" w:rsidR="00B057F1" w:rsidRDefault="00B057F1" w:rsidP="00EE7ECC">
      <w:pPr>
        <w:pStyle w:val="FSBullet1"/>
      </w:pPr>
      <w:r>
        <w:t xml:space="preserve">A range of other industry standards </w:t>
      </w:r>
      <w:r w:rsidR="0056336F">
        <w:t xml:space="preserve">which </w:t>
      </w:r>
      <w:r>
        <w:t xml:space="preserve">have general specifications for </w:t>
      </w:r>
      <w:r w:rsidR="0056336F">
        <w:t xml:space="preserve">food </w:t>
      </w:r>
      <w:r>
        <w:t xml:space="preserve">packaging e.g. </w:t>
      </w:r>
      <w:r w:rsidR="005B43F4">
        <w:t>ISO 22000; SQF 22000 and</w:t>
      </w:r>
      <w:r>
        <w:t xml:space="preserve"> BRC</w:t>
      </w:r>
      <w:r w:rsidR="005B43F4">
        <w:t xml:space="preserve"> standards</w:t>
      </w:r>
      <w:r>
        <w:t>.</w:t>
      </w:r>
    </w:p>
    <w:p w14:paraId="1F792372" w14:textId="77777777" w:rsidR="004876B0" w:rsidRPr="004876B0" w:rsidRDefault="004876B0" w:rsidP="00EE7ECC">
      <w:pPr>
        <w:rPr>
          <w:lang w:bidi="ar-SA"/>
        </w:rPr>
      </w:pPr>
    </w:p>
    <w:p w14:paraId="7BD81786" w14:textId="19CC0406" w:rsidR="00622130" w:rsidRDefault="00006FEA" w:rsidP="00EE7ECC">
      <w:pPr>
        <w:pStyle w:val="FSBullet1"/>
      </w:pPr>
      <w:r>
        <w:t xml:space="preserve">Proprietary </w:t>
      </w:r>
      <w:r w:rsidR="00622130">
        <w:t>guidance</w:t>
      </w:r>
      <w:r>
        <w:t>,</w:t>
      </w:r>
      <w:r w:rsidR="00622130">
        <w:t xml:space="preserve"> audited quality assurance and food safety programs </w:t>
      </w:r>
      <w:r>
        <w:t xml:space="preserve">used by food businesses to </w:t>
      </w:r>
      <w:r w:rsidR="0024448E">
        <w:t xml:space="preserve">meet </w:t>
      </w:r>
      <w:r>
        <w:t>supplier requirements.</w:t>
      </w:r>
    </w:p>
    <w:p w14:paraId="5B3B425F" w14:textId="77777777" w:rsidR="004876B0" w:rsidRPr="004876B0" w:rsidRDefault="004876B0" w:rsidP="00EE7ECC">
      <w:pPr>
        <w:rPr>
          <w:lang w:bidi="ar-SA"/>
        </w:rPr>
      </w:pPr>
    </w:p>
    <w:p w14:paraId="2C0B5822" w14:textId="1A372923" w:rsidR="00622130" w:rsidRDefault="00622130" w:rsidP="00811C0B">
      <w:pPr>
        <w:pStyle w:val="FSBullet1"/>
        <w:ind w:right="-286"/>
      </w:pPr>
      <w:r w:rsidRPr="00A5120E">
        <w:t>Section 6 of the AFGC’s Packaging specific Product Information Form (PIF v5) refers to whether the unit packaging meets specifications for migration of substances into food</w:t>
      </w:r>
      <w:r w:rsidRPr="00A5120E">
        <w:rPr>
          <w:vertAlign w:val="superscript"/>
        </w:rPr>
        <w:footnoteReference w:id="22"/>
      </w:r>
      <w:r w:rsidR="007251CA">
        <w:t>.</w:t>
      </w:r>
    </w:p>
    <w:p w14:paraId="416B5E0E" w14:textId="77777777" w:rsidR="004876B0" w:rsidRPr="004876B0" w:rsidRDefault="004876B0" w:rsidP="00EE7ECC">
      <w:pPr>
        <w:rPr>
          <w:lang w:bidi="ar-SA"/>
        </w:rPr>
      </w:pPr>
    </w:p>
    <w:p w14:paraId="4A40CBC5" w14:textId="77777777" w:rsidR="00622130" w:rsidRDefault="00622130" w:rsidP="00811C0B">
      <w:pPr>
        <w:pStyle w:val="FSBullet1"/>
        <w:ind w:right="-286"/>
      </w:pPr>
      <w:r w:rsidRPr="00A5120E">
        <w:t>NZ Packaging Council Code of Practice for Packaging Design, Education and Procurement</w:t>
      </w:r>
      <w:r w:rsidRPr="00A5120E">
        <w:rPr>
          <w:vertAlign w:val="superscript"/>
        </w:rPr>
        <w:footnoteReference w:id="23"/>
      </w:r>
      <w:r w:rsidRPr="00A5120E">
        <w:t xml:space="preserve"> has no specific reference to food safety requirements, other than a general requirement to minimise risks associated with potentially toxic and hazardous materials. </w:t>
      </w:r>
    </w:p>
    <w:p w14:paraId="775F48C5" w14:textId="77777777" w:rsidR="004876B0" w:rsidRPr="004876B0" w:rsidRDefault="004876B0" w:rsidP="00EE7ECC">
      <w:pPr>
        <w:rPr>
          <w:lang w:bidi="ar-SA"/>
        </w:rPr>
      </w:pPr>
    </w:p>
    <w:p w14:paraId="32D61FFB" w14:textId="3B63BDD2" w:rsidR="00622130" w:rsidRDefault="004876B0" w:rsidP="00EE7ECC">
      <w:pPr>
        <w:pStyle w:val="FSBullet1"/>
      </w:pPr>
      <w:r>
        <w:t>T</w:t>
      </w:r>
      <w:r w:rsidR="00622130" w:rsidRPr="00A5120E">
        <w:t>he Australian Packaging Covenant APC</w:t>
      </w:r>
      <w:r w:rsidR="00622130" w:rsidRPr="00A5120E">
        <w:rPr>
          <w:vertAlign w:val="superscript"/>
        </w:rPr>
        <w:footnoteReference w:id="24"/>
      </w:r>
      <w:r w:rsidR="00622130" w:rsidRPr="00A5120E">
        <w:t xml:space="preserve"> has no specific refere</w:t>
      </w:r>
      <w:r w:rsidR="00622130">
        <w:t>nce to food safety requirements although there is a useful APC resource on ‘</w:t>
      </w:r>
      <w:r w:rsidR="00622130" w:rsidRPr="005B2E20">
        <w:t>Recycled Materials in Food Contact Applications</w:t>
      </w:r>
      <w:r w:rsidR="00622130">
        <w:t>’</w:t>
      </w:r>
      <w:r w:rsidR="00622130">
        <w:rPr>
          <w:rStyle w:val="FootnoteReference"/>
        </w:rPr>
        <w:footnoteReference w:id="25"/>
      </w:r>
    </w:p>
    <w:p w14:paraId="45CD1BE0" w14:textId="77777777" w:rsidR="004876B0" w:rsidRPr="004876B0" w:rsidRDefault="004876B0" w:rsidP="00EE7ECC">
      <w:pPr>
        <w:rPr>
          <w:lang w:bidi="ar-SA"/>
        </w:rPr>
      </w:pPr>
    </w:p>
    <w:p w14:paraId="5B95AABC" w14:textId="755EB892" w:rsidR="00811C0B" w:rsidRDefault="004876B0" w:rsidP="00EE7ECC">
      <w:pPr>
        <w:pStyle w:val="FSBullet1"/>
      </w:pPr>
      <w:r>
        <w:t>T</w:t>
      </w:r>
      <w:r w:rsidR="00622130" w:rsidRPr="00A5120E">
        <w:t>he Confederation of European Paper Industries (CEPI) designed to provide guidance for establishing compliance with Regulation (EC) No 1935/2004. This guideline reflects the existing Recommendation XXXVI (plus parts 1, 2 and 3) of the German food safety agency (Bundesinstitut für Risikobewertung) which sets compositional limits for chemical migrants.</w:t>
      </w:r>
      <w:r w:rsidR="00811C0B">
        <w:br w:type="page"/>
      </w:r>
    </w:p>
    <w:p w14:paraId="17C3E43D" w14:textId="42B8C657" w:rsidR="00622130" w:rsidRDefault="004876B0" w:rsidP="00EE7ECC">
      <w:pPr>
        <w:pStyle w:val="FSBullet1"/>
      </w:pPr>
      <w:r>
        <w:lastRenderedPageBreak/>
        <w:t>T</w:t>
      </w:r>
      <w:r w:rsidR="00622130" w:rsidRPr="00A5120E">
        <w:t>he European Printing Ink Association (EuPIA) This guideline describes the responsibilities of printing ink manufacturers within the food packaging chain. As printing inks for food packaging are not covered by any specific EU legislation currently, EuPIA members commit that they will follow the EuPIA Guideline on Printing Inks applied to the non-food contact surface of food packaging materials and articles</w:t>
      </w:r>
      <w:r w:rsidR="00E76ACC">
        <w:t xml:space="preserve">. </w:t>
      </w:r>
    </w:p>
    <w:p w14:paraId="23198242" w14:textId="77777777" w:rsidR="004876B0" w:rsidRPr="004876B0" w:rsidRDefault="004876B0" w:rsidP="00EE7ECC">
      <w:pPr>
        <w:rPr>
          <w:lang w:bidi="ar-SA"/>
        </w:rPr>
      </w:pPr>
    </w:p>
    <w:p w14:paraId="42C30BEF" w14:textId="77777777" w:rsidR="0024448E" w:rsidRDefault="00622130" w:rsidP="00811C0B">
      <w:pPr>
        <w:pStyle w:val="FSBullet1"/>
        <w:ind w:right="-569"/>
      </w:pPr>
      <w:r w:rsidRPr="00A5120E">
        <w:t>Publicly Available Specification (PAS) 223: Managing Food Safety for Packaging (PAS 223).</w:t>
      </w:r>
    </w:p>
    <w:p w14:paraId="71E8859F" w14:textId="77777777" w:rsidR="0024448E" w:rsidRDefault="0024448E" w:rsidP="0024448E">
      <w:pPr>
        <w:pStyle w:val="FSBullet1"/>
        <w:numPr>
          <w:ilvl w:val="0"/>
          <w:numId w:val="0"/>
        </w:numPr>
        <w:ind w:left="567"/>
      </w:pPr>
    </w:p>
    <w:p w14:paraId="2EDC43F9" w14:textId="26DBAB5A" w:rsidR="00AD114C" w:rsidRPr="00AD114C" w:rsidRDefault="00622130" w:rsidP="0024448E">
      <w:pPr>
        <w:pStyle w:val="FSBullet1"/>
        <w:numPr>
          <w:ilvl w:val="0"/>
          <w:numId w:val="0"/>
        </w:numPr>
      </w:pPr>
      <w:r w:rsidRPr="00FE5024">
        <w:t>In order for a guideline to achieve an outcome to mitigate any risks from CMPF, there needs to be readily available information about strategies to identify, characterise and manage identified risks.</w:t>
      </w:r>
    </w:p>
    <w:p w14:paraId="529A2DCC" w14:textId="32CFD321" w:rsidR="008835C3" w:rsidRPr="004222BE" w:rsidRDefault="00C81CB9" w:rsidP="00EE7ECC">
      <w:pPr>
        <w:pStyle w:val="Heading4"/>
      </w:pPr>
      <w:r>
        <w:t>Option 3</w:t>
      </w:r>
      <w:r w:rsidR="003F576F">
        <w:t xml:space="preserve">c: </w:t>
      </w:r>
      <w:r w:rsidR="003F576F" w:rsidRPr="004222BE">
        <w:t xml:space="preserve">Industry </w:t>
      </w:r>
      <w:r w:rsidR="003F576F">
        <w:t>s</w:t>
      </w:r>
      <w:r w:rsidR="003F576F" w:rsidRPr="004222BE">
        <w:t>elf</w:t>
      </w:r>
      <w:r w:rsidR="003F576F">
        <w:t xml:space="preserve">-regulation by </w:t>
      </w:r>
      <w:r w:rsidR="008835C3">
        <w:t>a c</w:t>
      </w:r>
      <w:r w:rsidR="008835C3" w:rsidRPr="004222BE">
        <w:t>o-</w:t>
      </w:r>
      <w:r w:rsidR="008D2C28" w:rsidRPr="004222BE">
        <w:t>regulat</w:t>
      </w:r>
      <w:r w:rsidR="008D2C28">
        <w:t xml:space="preserve">ory </w:t>
      </w:r>
      <w:r w:rsidR="008835C3">
        <w:t xml:space="preserve">approach </w:t>
      </w:r>
    </w:p>
    <w:p w14:paraId="6D6285F9" w14:textId="47083CE3" w:rsidR="00D34930" w:rsidRPr="00821340" w:rsidRDefault="00D34930" w:rsidP="00811C0B">
      <w:pPr>
        <w:ind w:right="-286"/>
        <w:rPr>
          <w:u w:val="single"/>
        </w:rPr>
      </w:pPr>
      <w:r w:rsidRPr="00A5120E">
        <w:t xml:space="preserve">Submitters to the Consultation Paper informed FSANZ that an industry/FSANZ Co-regulatory approach may have the advantage of presenting a </w:t>
      </w:r>
      <w:r w:rsidR="00E8353B">
        <w:t xml:space="preserve">voluntary </w:t>
      </w:r>
      <w:r w:rsidRPr="00A5120E">
        <w:t xml:space="preserve">mechanism for adoption by businesses that wish to use it, while maintaining maximum flexibility for companies to develop their own systems and approaches should they have the expertise and need to do so. </w:t>
      </w:r>
    </w:p>
    <w:p w14:paraId="77BA9033" w14:textId="77777777" w:rsidR="00D34930" w:rsidRPr="00A5120E" w:rsidRDefault="00D34930" w:rsidP="00D34930"/>
    <w:p w14:paraId="4B3AE033" w14:textId="6C3C9EDB" w:rsidR="00D34930" w:rsidRPr="00A5120E" w:rsidRDefault="00D34930" w:rsidP="00D34930">
      <w:r w:rsidRPr="00A5120E">
        <w:t>The NZ Packaging Council’s Code of Practice for Packaging Design, Education and Procurement</w:t>
      </w:r>
      <w:r w:rsidRPr="00A5120E">
        <w:rPr>
          <w:vertAlign w:val="superscript"/>
        </w:rPr>
        <w:t xml:space="preserve"> </w:t>
      </w:r>
      <w:r w:rsidRPr="00A5120E">
        <w:t xml:space="preserve">assists stakeholders in the design, manufacture and end-of-life management of packaging to minimise its environmental impacts. This </w:t>
      </w:r>
      <w:r w:rsidR="009C2440">
        <w:t>CoP</w:t>
      </w:r>
      <w:r w:rsidR="00E8353B">
        <w:t xml:space="preserve"> </w:t>
      </w:r>
      <w:r w:rsidRPr="00A5120E">
        <w:t xml:space="preserve">has recently been amended to address the </w:t>
      </w:r>
      <w:r w:rsidR="00653DDC">
        <w:t>New Zealand’s</w:t>
      </w:r>
      <w:r w:rsidR="00653DDC" w:rsidRPr="00A5120E">
        <w:t xml:space="preserve"> </w:t>
      </w:r>
      <w:r w:rsidRPr="00A5120E">
        <w:t>Fair Trading Act</w:t>
      </w:r>
      <w:r w:rsidR="00653DDC">
        <w:t>’s new</w:t>
      </w:r>
      <w:r w:rsidRPr="00A5120E">
        <w:t xml:space="preserve"> prohibition against unsubstantiated representations in trade</w:t>
      </w:r>
      <w:r w:rsidRPr="00A5120E">
        <w:rPr>
          <w:vertAlign w:val="superscript"/>
        </w:rPr>
        <w:footnoteReference w:id="26"/>
      </w:r>
      <w:r w:rsidRPr="00A5120E">
        <w:t xml:space="preserve">. </w:t>
      </w:r>
    </w:p>
    <w:p w14:paraId="2CB7DF1E" w14:textId="77777777" w:rsidR="00D34930" w:rsidRPr="00A5120E" w:rsidRDefault="00D34930" w:rsidP="00D34930"/>
    <w:p w14:paraId="24F74C87" w14:textId="509448BD" w:rsidR="00D34930" w:rsidRDefault="00D34930" w:rsidP="00D34930">
      <w:r w:rsidRPr="00A5120E">
        <w:t xml:space="preserve">The Australian Packaging Covenant (APC) was developed by industry in association with </w:t>
      </w:r>
      <w:r w:rsidR="00826A89">
        <w:t xml:space="preserve">community groups and local, state and territory </w:t>
      </w:r>
      <w:r w:rsidRPr="00A5120E">
        <w:t>government</w:t>
      </w:r>
      <w:r w:rsidR="00826A89">
        <w:t>s</w:t>
      </w:r>
      <w:r w:rsidRPr="00A5120E">
        <w:t xml:space="preserve">, </w:t>
      </w:r>
      <w:r w:rsidR="00826A89">
        <w:t>who undertake compliance activities</w:t>
      </w:r>
      <w:r w:rsidR="00E76ACC">
        <w:t xml:space="preserve">. </w:t>
      </w:r>
      <w:r w:rsidRPr="00A5120E">
        <w:t>It aims to change the culture of business to design more sustainable packaging, increase recycling rates and reduce packaging litter. The APC is an agreement between government, industry and community groups together to find and to fund solutions to address packaging sustainability issues. The Covenant is based on the waste hierarchy: that is, it puts high priority on avoiding and minimising packaging waste, followed by reuse, recycling, recovery and finally, disposal. More than 250 food and beverage retailers and packaging manufacturers are signatories to the APC</w:t>
      </w:r>
      <w:r w:rsidR="00E76ACC">
        <w:t xml:space="preserve">. </w:t>
      </w:r>
      <w:r w:rsidR="00E8353B">
        <w:t>There are currently no requirements in the Covenant addressing CMPF</w:t>
      </w:r>
      <w:r w:rsidR="00812495">
        <w:t>.</w:t>
      </w:r>
    </w:p>
    <w:p w14:paraId="454E42E2" w14:textId="3E73BFBE" w:rsidR="000435FB" w:rsidRDefault="000435FB" w:rsidP="00D34930"/>
    <w:p w14:paraId="25AC4041" w14:textId="145167D0" w:rsidR="000435FB" w:rsidRPr="00821340" w:rsidRDefault="000435FB" w:rsidP="000435FB">
      <w:pPr>
        <w:rPr>
          <w:u w:val="single"/>
        </w:rPr>
      </w:pPr>
      <w:r w:rsidRPr="00A5120E">
        <w:t xml:space="preserve">The CoPs would take a ‘due diligence’ approach – ‘follow this CoP and you will meet the regulatory requirements’. However, from a consumer’s perspective, given the importance of protecting human health, clear standards may be preferred </w:t>
      </w:r>
      <w:r w:rsidR="00CD7DF7">
        <w:t xml:space="preserve">i.e. </w:t>
      </w:r>
      <w:r w:rsidRPr="00A5120E">
        <w:t xml:space="preserve">a </w:t>
      </w:r>
      <w:r w:rsidR="00B84BBC">
        <w:t xml:space="preserve">more </w:t>
      </w:r>
      <w:r>
        <w:t xml:space="preserve">prescriptive </w:t>
      </w:r>
      <w:r w:rsidRPr="00A5120E">
        <w:t xml:space="preserve">approach. </w:t>
      </w:r>
    </w:p>
    <w:p w14:paraId="70768C99" w14:textId="1EF91C1F" w:rsidR="00187009" w:rsidRDefault="00187009" w:rsidP="00BE1FD8">
      <w:pPr>
        <w:rPr>
          <w:lang w:eastAsia="en-AU"/>
        </w:rPr>
      </w:pPr>
    </w:p>
    <w:p w14:paraId="6898885A" w14:textId="3B99D398" w:rsidR="00BE1FD8" w:rsidRDefault="00B84BBC" w:rsidP="00BE1FD8">
      <w:pPr>
        <w:rPr>
          <w:lang w:eastAsia="en-AU"/>
        </w:rPr>
      </w:pPr>
      <w:r>
        <w:rPr>
          <w:lang w:eastAsia="en-AU"/>
        </w:rPr>
        <w:t>Therefore, r</w:t>
      </w:r>
      <w:r w:rsidR="004B5479" w:rsidRPr="00FD292A">
        <w:rPr>
          <w:lang w:eastAsia="en-AU"/>
        </w:rPr>
        <w:t>evisi</w:t>
      </w:r>
      <w:r w:rsidR="00CD7DF7">
        <w:rPr>
          <w:lang w:eastAsia="en-AU"/>
        </w:rPr>
        <w:t>ng e</w:t>
      </w:r>
      <w:r w:rsidR="004B5479" w:rsidRPr="00FD292A">
        <w:rPr>
          <w:lang w:eastAsia="en-AU"/>
        </w:rPr>
        <w:t xml:space="preserve">ither the NZ Packaging Council Code of Practice for Packaging Design, Education and Procurement or the APC </w:t>
      </w:r>
      <w:r w:rsidR="004B5479" w:rsidRPr="009C2440">
        <w:rPr>
          <w:lang w:eastAsia="en-AU"/>
        </w:rPr>
        <w:t>to include information on the safety of CMPF</w:t>
      </w:r>
      <w:r w:rsidR="004B5479" w:rsidRPr="00FD292A">
        <w:rPr>
          <w:i/>
          <w:lang w:eastAsia="en-AU"/>
        </w:rPr>
        <w:t xml:space="preserve"> </w:t>
      </w:r>
      <w:r w:rsidR="004B5479" w:rsidRPr="000435FB">
        <w:rPr>
          <w:lang w:eastAsia="en-AU"/>
        </w:rPr>
        <w:t xml:space="preserve">may </w:t>
      </w:r>
      <w:r w:rsidR="004B5479" w:rsidRPr="00FD292A">
        <w:rPr>
          <w:lang w:eastAsia="en-AU"/>
        </w:rPr>
        <w:t xml:space="preserve">be an appropriate and effective action that FSANZ and industry could undertake to </w:t>
      </w:r>
      <w:r w:rsidR="00CD7DF7">
        <w:rPr>
          <w:lang w:eastAsia="en-AU"/>
        </w:rPr>
        <w:t>help identify</w:t>
      </w:r>
      <w:r w:rsidR="004B5479" w:rsidRPr="00FD292A">
        <w:rPr>
          <w:lang w:eastAsia="en-AU"/>
        </w:rPr>
        <w:t>, characteris</w:t>
      </w:r>
      <w:r w:rsidR="00CD7DF7">
        <w:rPr>
          <w:lang w:eastAsia="en-AU"/>
        </w:rPr>
        <w:t xml:space="preserve">e </w:t>
      </w:r>
      <w:r w:rsidR="004B5479" w:rsidRPr="00FD292A">
        <w:rPr>
          <w:lang w:eastAsia="en-AU"/>
        </w:rPr>
        <w:t>and manage</w:t>
      </w:r>
      <w:r w:rsidR="00CD7DF7">
        <w:rPr>
          <w:lang w:eastAsia="en-AU"/>
        </w:rPr>
        <w:t xml:space="preserve"> </w:t>
      </w:r>
      <w:r w:rsidR="004B5479">
        <w:rPr>
          <w:lang w:eastAsia="en-AU"/>
        </w:rPr>
        <w:t>risks arising from CMPF.</w:t>
      </w:r>
    </w:p>
    <w:p w14:paraId="122E0D99" w14:textId="77777777" w:rsidR="00BE1FD8" w:rsidRDefault="00BE1FD8" w:rsidP="00BE1FD8">
      <w:pPr>
        <w:rPr>
          <w:lang w:eastAsia="en-AU"/>
        </w:rPr>
      </w:pPr>
    </w:p>
    <w:p w14:paraId="3DD57C44" w14:textId="77777777" w:rsidR="004876B0" w:rsidRPr="007B65CB" w:rsidRDefault="004876B0" w:rsidP="004876B0">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B65CB">
        <w:rPr>
          <w:b/>
        </w:rPr>
        <w:t>Question:</w:t>
      </w:r>
    </w:p>
    <w:p w14:paraId="2180C0AC" w14:textId="77777777" w:rsidR="00AE4AD2" w:rsidRDefault="00AE4AD2" w:rsidP="00BE1FD8">
      <w:pPr>
        <w:pBdr>
          <w:top w:val="single" w:sz="4" w:space="1" w:color="auto"/>
          <w:left w:val="single" w:sz="4" w:space="4" w:color="auto"/>
          <w:bottom w:val="single" w:sz="4" w:space="1" w:color="auto"/>
          <w:right w:val="single" w:sz="4" w:space="4" w:color="auto"/>
        </w:pBdr>
        <w:shd w:val="clear" w:color="auto" w:fill="EAF1DD" w:themeFill="accent3" w:themeFillTint="33"/>
      </w:pPr>
    </w:p>
    <w:p w14:paraId="73A0EA8D" w14:textId="38B84E32" w:rsidR="00912EB1" w:rsidRPr="00912EB1" w:rsidRDefault="009B49B6" w:rsidP="00EE7ECC">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b/>
          <w:lang w:eastAsia="en-AU"/>
        </w:rPr>
      </w:pPr>
      <w:r>
        <w:t>Q9</w:t>
      </w:r>
      <w:r w:rsidR="00811C0B">
        <w:tab/>
      </w:r>
      <w:r w:rsidR="00082852">
        <w:t>What</w:t>
      </w:r>
      <w:r w:rsidR="00EE7ECC">
        <w:rPr>
          <w:lang w:eastAsia="en-AU"/>
        </w:rPr>
        <w:t xml:space="preserve"> are the </w:t>
      </w:r>
      <w:r w:rsidR="00EE7ECC" w:rsidRPr="00EE7ECC">
        <w:rPr>
          <w:lang w:eastAsia="en-AU"/>
        </w:rPr>
        <w:t>perceived cost and benefits for industry, consumers and industry</w:t>
      </w:r>
      <w:r w:rsidR="00EE7ECC">
        <w:rPr>
          <w:lang w:eastAsia="en-AU"/>
        </w:rPr>
        <w:t xml:space="preserve"> </w:t>
      </w:r>
      <w:r w:rsidR="00E229FE">
        <w:rPr>
          <w:lang w:eastAsia="en-AU"/>
        </w:rPr>
        <w:t>of a non-regulatory approach</w:t>
      </w:r>
      <w:r w:rsidR="00EE7ECC">
        <w:rPr>
          <w:lang w:eastAsia="en-AU"/>
        </w:rPr>
        <w:t>? D</w:t>
      </w:r>
      <w:r w:rsidR="00EE7ECC" w:rsidRPr="00EE7ECC">
        <w:rPr>
          <w:lang w:eastAsia="en-AU"/>
        </w:rPr>
        <w:t xml:space="preserve">o you think </w:t>
      </w:r>
      <w:r w:rsidR="003473FB">
        <w:rPr>
          <w:lang w:eastAsia="en-AU"/>
        </w:rPr>
        <w:t xml:space="preserve">either </w:t>
      </w:r>
      <w:r w:rsidR="00EE7ECC">
        <w:rPr>
          <w:lang w:eastAsia="en-AU"/>
        </w:rPr>
        <w:t xml:space="preserve">option </w:t>
      </w:r>
      <w:r w:rsidR="003473FB">
        <w:rPr>
          <w:lang w:eastAsia="en-AU"/>
        </w:rPr>
        <w:t>3a</w:t>
      </w:r>
      <w:r w:rsidR="0024448E">
        <w:rPr>
          <w:lang w:eastAsia="en-AU"/>
        </w:rPr>
        <w:t>,</w:t>
      </w:r>
      <w:r w:rsidR="003473FB">
        <w:rPr>
          <w:lang w:eastAsia="en-AU"/>
        </w:rPr>
        <w:t xml:space="preserve"> 3b</w:t>
      </w:r>
      <w:r w:rsidR="0024448E">
        <w:rPr>
          <w:lang w:eastAsia="en-AU"/>
        </w:rPr>
        <w:t>or 3c</w:t>
      </w:r>
      <w:r w:rsidR="003473FB">
        <w:rPr>
          <w:lang w:eastAsia="en-AU"/>
        </w:rPr>
        <w:t xml:space="preserve"> </w:t>
      </w:r>
      <w:r w:rsidR="00EE7ECC" w:rsidRPr="00EE7ECC">
        <w:rPr>
          <w:lang w:eastAsia="en-AU"/>
        </w:rPr>
        <w:t>would be cost effective?</w:t>
      </w:r>
    </w:p>
    <w:p w14:paraId="3D9BE78B" w14:textId="7624E6C6" w:rsidR="00C376B4" w:rsidRDefault="00114E98" w:rsidP="00114E98">
      <w:pPr>
        <w:pStyle w:val="Heading3"/>
      </w:pPr>
      <w:bookmarkStart w:id="52" w:name="_Toc452645335"/>
      <w:r w:rsidRPr="00114E98">
        <w:lastRenderedPageBreak/>
        <w:t>2.</w:t>
      </w:r>
      <w:r w:rsidR="00CB36C3">
        <w:t>3.4</w:t>
      </w:r>
      <w:r>
        <w:tab/>
      </w:r>
      <w:r w:rsidR="00C81CB9">
        <w:t>Option 4</w:t>
      </w:r>
      <w:r w:rsidRPr="00114E98">
        <w:t xml:space="preserve">: Graduated </w:t>
      </w:r>
      <w:r w:rsidR="00CD7DF7">
        <w:t>a</w:t>
      </w:r>
      <w:r w:rsidRPr="00114E98">
        <w:t>pproach</w:t>
      </w:r>
      <w:bookmarkEnd w:id="52"/>
    </w:p>
    <w:p w14:paraId="0FA88F59" w14:textId="4A463FAC" w:rsidR="00DD55FC" w:rsidRDefault="00B736FA" w:rsidP="005436E3">
      <w:r>
        <w:t>FSANZ’s assessment, based on the information currently available, is that this option would appear to have the most efficacy of the four risk management options identified. Whilst less prescriptive than the EU or US pre-market assessment approaches, it serves to address the following</w:t>
      </w:r>
      <w:r w:rsidR="00DD55FC">
        <w:t>:</w:t>
      </w:r>
    </w:p>
    <w:p w14:paraId="3D5E5455" w14:textId="77777777" w:rsidR="00DD55FC" w:rsidRDefault="00DD55FC" w:rsidP="005436E3"/>
    <w:p w14:paraId="147AC250" w14:textId="052AAF83" w:rsidR="00DD55FC" w:rsidRDefault="00DD55FC" w:rsidP="00811C0B">
      <w:pPr>
        <w:pStyle w:val="FSBullet1"/>
      </w:pPr>
      <w:r>
        <w:t xml:space="preserve">chemicals </w:t>
      </w:r>
      <w:r w:rsidR="00485C35">
        <w:t>assessed as</w:t>
      </w:r>
      <w:r>
        <w:t xml:space="preserve"> low risk (see 2.3.4.1)</w:t>
      </w:r>
    </w:p>
    <w:p w14:paraId="456AB646" w14:textId="15A928D8" w:rsidR="00DD55FC" w:rsidRPr="00DD55FC" w:rsidRDefault="00DD55FC" w:rsidP="00811C0B">
      <w:pPr>
        <w:pStyle w:val="FSBullet1"/>
      </w:pPr>
      <w:r>
        <w:t>chemicals assessed as high risk (see 2.3.4.2); specifically</w:t>
      </w:r>
      <w:r w:rsidR="00485C35">
        <w:t xml:space="preserve">, the </w:t>
      </w:r>
      <w:r>
        <w:t xml:space="preserve">two phthalates </w:t>
      </w:r>
      <w:r w:rsidR="009C2440">
        <w:t>(</w:t>
      </w:r>
      <w:r>
        <w:t>DEHP and DINP</w:t>
      </w:r>
      <w:r w:rsidR="009C2440">
        <w:t>)</w:t>
      </w:r>
      <w:r>
        <w:t xml:space="preserve"> from the 24</w:t>
      </w:r>
      <w:r w:rsidRPr="009C2440">
        <w:rPr>
          <w:vertAlign w:val="superscript"/>
        </w:rPr>
        <w:t>th</w:t>
      </w:r>
      <w:r>
        <w:t xml:space="preserve"> ATDS </w:t>
      </w:r>
      <w:r w:rsidR="00485C35">
        <w:t>that</w:t>
      </w:r>
      <w:r>
        <w:t xml:space="preserve"> </w:t>
      </w:r>
      <w:r w:rsidR="00485C35">
        <w:t>raise</w:t>
      </w:r>
      <w:r>
        <w:t xml:space="preserve"> public health and safety concerns</w:t>
      </w:r>
      <w:r w:rsidR="00AA389E">
        <w:rPr>
          <w:rStyle w:val="FootnoteReference"/>
        </w:rPr>
        <w:footnoteReference w:id="27"/>
      </w:r>
    </w:p>
    <w:p w14:paraId="0301984D" w14:textId="5A8BEDAA" w:rsidR="00DD55FC" w:rsidRDefault="00DD55FC" w:rsidP="00811C0B">
      <w:pPr>
        <w:pStyle w:val="FSBullet1"/>
      </w:pPr>
      <w:r>
        <w:t xml:space="preserve">a lack of clarity and certainty about the current requirements (regulatory and non-regulatory) for some food businesses in Australia and New Zealand </w:t>
      </w:r>
    </w:p>
    <w:p w14:paraId="20934860" w14:textId="466C7C10" w:rsidR="00DD55FC" w:rsidRDefault="00DD55FC" w:rsidP="00811C0B">
      <w:pPr>
        <w:pStyle w:val="FSBullet1"/>
      </w:pPr>
      <w:proofErr w:type="gramStart"/>
      <w:r>
        <w:t>gaps</w:t>
      </w:r>
      <w:proofErr w:type="gramEnd"/>
      <w:r>
        <w:t xml:space="preserve"> in the awareness and management of CMPF </w:t>
      </w:r>
      <w:r w:rsidR="00206846">
        <w:t xml:space="preserve">for some food businesses </w:t>
      </w:r>
      <w:r>
        <w:t>and uneven control practices across industry</w:t>
      </w:r>
      <w:r w:rsidR="00462A77">
        <w:t xml:space="preserve">. </w:t>
      </w:r>
    </w:p>
    <w:p w14:paraId="2D5DB21D" w14:textId="77777777" w:rsidR="00AA389E" w:rsidRPr="00AA389E" w:rsidRDefault="00AA389E" w:rsidP="00AA389E"/>
    <w:p w14:paraId="50E1A6D9" w14:textId="5CB75EBC" w:rsidR="001B77B3" w:rsidRDefault="001519A8" w:rsidP="00385C00">
      <w:r>
        <w:t>FSANZ notes, that a</w:t>
      </w:r>
      <w:r w:rsidR="00385C00">
        <w:t xml:space="preserve">n information/awareness </w:t>
      </w:r>
      <w:r w:rsidR="00457472">
        <w:t>program (</w:t>
      </w:r>
      <w:r>
        <w:t>as per option 3a)</w:t>
      </w:r>
      <w:r w:rsidR="00385C00">
        <w:t xml:space="preserve"> could be undertaken independent of, or as part of, a graduated approach. </w:t>
      </w:r>
    </w:p>
    <w:p w14:paraId="3CE795C7" w14:textId="70D531BF" w:rsidR="00B719CC" w:rsidRPr="007D4222" w:rsidRDefault="001B77B3" w:rsidP="007D4222">
      <w:pPr>
        <w:pStyle w:val="Heading4"/>
        <w:rPr>
          <w:rFonts w:eastAsiaTheme="majorEastAsia"/>
        </w:rPr>
      </w:pPr>
      <w:r w:rsidRPr="007D4222">
        <w:rPr>
          <w:rFonts w:eastAsiaTheme="majorEastAsia"/>
        </w:rPr>
        <w:t>2.</w:t>
      </w:r>
      <w:r w:rsidR="00CB36C3" w:rsidRPr="007D4222">
        <w:rPr>
          <w:rFonts w:eastAsiaTheme="majorEastAsia"/>
        </w:rPr>
        <w:t>3.4.</w:t>
      </w:r>
      <w:r w:rsidR="00F73A46" w:rsidRPr="007D4222">
        <w:rPr>
          <w:rFonts w:eastAsiaTheme="majorEastAsia"/>
        </w:rPr>
        <w:t>1</w:t>
      </w:r>
      <w:r w:rsidR="00B719CC" w:rsidRPr="007D4222">
        <w:rPr>
          <w:rFonts w:eastAsiaTheme="majorEastAsia"/>
        </w:rPr>
        <w:tab/>
        <w:t>Chemicals of low risk</w:t>
      </w:r>
      <w:r w:rsidRPr="007D4222">
        <w:rPr>
          <w:rFonts w:eastAsiaTheme="majorEastAsia"/>
        </w:rPr>
        <w:t xml:space="preserve"> </w:t>
      </w:r>
    </w:p>
    <w:p w14:paraId="3555A3CE" w14:textId="2F9C0AD5" w:rsidR="0068304D" w:rsidRDefault="0068304D" w:rsidP="0068304D">
      <w:r>
        <w:t>L</w:t>
      </w:r>
      <w:r w:rsidRPr="00A5120E">
        <w:t>ow-risk ch</w:t>
      </w:r>
      <w:r>
        <w:t xml:space="preserve">emicals </w:t>
      </w:r>
      <w:r w:rsidRPr="00A5120E">
        <w:t xml:space="preserve">fall into the following </w:t>
      </w:r>
      <w:r>
        <w:t xml:space="preserve">groups: </w:t>
      </w:r>
      <w:r w:rsidRPr="00A5120E">
        <w:t xml:space="preserve"> </w:t>
      </w:r>
    </w:p>
    <w:p w14:paraId="4BB6670C" w14:textId="77777777" w:rsidR="00187009" w:rsidRDefault="00187009" w:rsidP="0068304D"/>
    <w:p w14:paraId="3179F12D" w14:textId="77777777" w:rsidR="0068304D" w:rsidRDefault="0068304D" w:rsidP="0068304D">
      <w:pPr>
        <w:pStyle w:val="FSBullet1"/>
      </w:pPr>
      <w:r>
        <w:t>chemicals of low inherent and residual risk</w:t>
      </w:r>
    </w:p>
    <w:p w14:paraId="51CBFE02" w14:textId="3693A4DA" w:rsidR="00187009" w:rsidRPr="00187009" w:rsidRDefault="0068304D" w:rsidP="00187009">
      <w:pPr>
        <w:pStyle w:val="FSBullet1"/>
      </w:pPr>
      <w:r>
        <w:t>chemicals where there are l</w:t>
      </w:r>
      <w:r w:rsidRPr="00A5120E">
        <w:t>imited detections in food surveys and no further c</w:t>
      </w:r>
      <w:r>
        <w:t>haracterisation of the risk is warranted or being undertaken by FSANZ</w:t>
      </w:r>
    </w:p>
    <w:p w14:paraId="0517BA86" w14:textId="77777777" w:rsidR="0068304D" w:rsidRDefault="0068304D" w:rsidP="0068304D">
      <w:pPr>
        <w:pStyle w:val="FSBullet1"/>
      </w:pPr>
      <w:r>
        <w:t xml:space="preserve">chemicals which are well managed through </w:t>
      </w:r>
      <w:r w:rsidRPr="00A5120E">
        <w:t>risk mitigation measures</w:t>
      </w:r>
      <w:r>
        <w:t>, including:</w:t>
      </w:r>
    </w:p>
    <w:p w14:paraId="7A5B5608" w14:textId="77777777" w:rsidR="0068304D" w:rsidRPr="004A78F1" w:rsidRDefault="0068304D" w:rsidP="0068304D"/>
    <w:p w14:paraId="1D006952" w14:textId="6BD7FE1E" w:rsidR="0068304D" w:rsidRDefault="0068304D" w:rsidP="0068304D">
      <w:pPr>
        <w:pStyle w:val="FSBullet2"/>
      </w:pPr>
      <w:r>
        <w:t xml:space="preserve">evidence of compliance with AS 2070-1999, EU and/or US regulations, and/or Codes of Practice </w:t>
      </w:r>
    </w:p>
    <w:p w14:paraId="33D51E5F" w14:textId="529E7569" w:rsidR="0068304D" w:rsidRDefault="0068304D" w:rsidP="0068304D">
      <w:pPr>
        <w:pStyle w:val="FSBullet2"/>
      </w:pPr>
      <w:r>
        <w:t xml:space="preserve">inclusion </w:t>
      </w:r>
      <w:r w:rsidR="00AF144B">
        <w:t>and use</w:t>
      </w:r>
      <w:r w:rsidR="0024448E">
        <w:t xml:space="preserve"> </w:t>
      </w:r>
      <w:r>
        <w:t xml:space="preserve">of barrier materials </w:t>
      </w:r>
    </w:p>
    <w:p w14:paraId="11FAE31A" w14:textId="77777777" w:rsidR="0068304D" w:rsidRDefault="0068304D" w:rsidP="0068304D">
      <w:pPr>
        <w:pStyle w:val="FSBullet2"/>
      </w:pPr>
      <w:r>
        <w:t>documented (and validated) supplier assurance.</w:t>
      </w:r>
    </w:p>
    <w:p w14:paraId="60E725F3" w14:textId="77777777" w:rsidR="0068304D" w:rsidRDefault="0068304D" w:rsidP="0068304D"/>
    <w:p w14:paraId="1EA7BC63" w14:textId="77777777" w:rsidR="0068304D" w:rsidRDefault="0068304D" w:rsidP="0068304D">
      <w:r w:rsidRPr="00A5120E">
        <w:t>A range of mitigation measures are used through the packaging supply chain to minimise CMPF</w:t>
      </w:r>
      <w:r>
        <w:t>. O</w:t>
      </w:r>
      <w:r w:rsidRPr="00A5120E">
        <w:t>verall packaging manufacturers and raw material producers have good control of CMPF through uptake of overseas regulat</w:t>
      </w:r>
      <w:r>
        <w:t xml:space="preserve">ions. </w:t>
      </w:r>
      <w:r w:rsidRPr="00A5120E">
        <w:t xml:space="preserve">The level of control is more variable for SMEs who rely upon the Code as a point of reference. More than half of the packaging manufacturers responded that they comply with a range of non-regulatory measures and </w:t>
      </w:r>
      <w:r>
        <w:t>more than</w:t>
      </w:r>
      <w:r w:rsidRPr="00A5120E">
        <w:t xml:space="preserve"> 70% </w:t>
      </w:r>
      <w:r>
        <w:t xml:space="preserve">of businesses </w:t>
      </w:r>
      <w:r w:rsidRPr="00A5120E">
        <w:t>ha</w:t>
      </w:r>
      <w:r>
        <w:t>d</w:t>
      </w:r>
      <w:r w:rsidRPr="00A5120E">
        <w:t xml:space="preserve"> an audited QA/QC program (</w:t>
      </w:r>
      <w:r>
        <w:t>SD4</w:t>
      </w:r>
      <w:r w:rsidRPr="00A5120E">
        <w:t>).</w:t>
      </w:r>
    </w:p>
    <w:p w14:paraId="3041F25E" w14:textId="708530DB" w:rsidR="009209BA" w:rsidRDefault="009209BA" w:rsidP="0068304D"/>
    <w:p w14:paraId="7C374CAB" w14:textId="560ADE21" w:rsidR="009209BA" w:rsidRDefault="009209BA" w:rsidP="0068304D">
      <w:r w:rsidRPr="009209BA">
        <w:t>Chemicals falling within the category of low risk would be managed through use of voluntary industry guidelines or greater record keeping and audit requirements</w:t>
      </w:r>
      <w:r w:rsidR="00702D29">
        <w:t xml:space="preserve"> under either a guideline and/or strengthening current requirements in the Code. </w:t>
      </w:r>
    </w:p>
    <w:p w14:paraId="37276DFC" w14:textId="03A1F9F6" w:rsidR="001B77B3" w:rsidRPr="00A5120E" w:rsidRDefault="001B77B3" w:rsidP="00811C0B">
      <w:pPr>
        <w:pStyle w:val="Heading5"/>
        <w:rPr>
          <w:rFonts w:eastAsiaTheme="majorEastAsia"/>
        </w:rPr>
      </w:pPr>
      <w:r>
        <w:rPr>
          <w:rFonts w:eastAsiaTheme="majorEastAsia"/>
        </w:rPr>
        <w:t xml:space="preserve">Guideline approach </w:t>
      </w:r>
    </w:p>
    <w:p w14:paraId="5E4EACB8" w14:textId="459DBF29" w:rsidR="001B77B3" w:rsidRDefault="001B77B3" w:rsidP="001B77B3">
      <w:r w:rsidRPr="00A5120E">
        <w:t xml:space="preserve">Submitters </w:t>
      </w:r>
      <w:r w:rsidR="00CB36C3">
        <w:t>on</w:t>
      </w:r>
      <w:r w:rsidR="00CB36C3" w:rsidRPr="00A5120E">
        <w:t xml:space="preserve"> </w:t>
      </w:r>
      <w:r w:rsidRPr="00A5120E">
        <w:t xml:space="preserve">the </w:t>
      </w:r>
      <w:r w:rsidR="00CB36C3">
        <w:t>c</w:t>
      </w:r>
      <w:r w:rsidRPr="00A5120E">
        <w:t xml:space="preserve">onsultation </w:t>
      </w:r>
      <w:r w:rsidR="00CB36C3">
        <w:t>p</w:t>
      </w:r>
      <w:r w:rsidRPr="00A5120E">
        <w:t xml:space="preserve">aper suggested that a specific guideline could be prepared (for example in conjunction with </w:t>
      </w:r>
      <w:r w:rsidR="00353768">
        <w:t>the Implementation Subcommittee for Food Regulation</w:t>
      </w:r>
      <w:r w:rsidR="001A3D80">
        <w:t xml:space="preserve"> (ISFR)</w:t>
      </w:r>
      <w:r w:rsidR="00353768">
        <w:rPr>
          <w:rStyle w:val="FootnoteReference"/>
        </w:rPr>
        <w:footnoteReference w:id="28"/>
      </w:r>
      <w:r w:rsidR="00353768">
        <w:t xml:space="preserve">) </w:t>
      </w:r>
      <w:r w:rsidRPr="00A5120E">
        <w:t xml:space="preserve">that described current regulatory requirements in </w:t>
      </w:r>
      <w:r w:rsidR="00DA5454">
        <w:t xml:space="preserve">Australia and New Zealand in </w:t>
      </w:r>
      <w:r w:rsidRPr="00A5120E">
        <w:t xml:space="preserve">association with practical guidance on how compliance can be achieved. </w:t>
      </w:r>
    </w:p>
    <w:p w14:paraId="4B4A17D5" w14:textId="0989CB22" w:rsidR="00811C0B" w:rsidRDefault="00811C0B" w:rsidP="001B77B3">
      <w:r>
        <w:br w:type="page"/>
      </w:r>
    </w:p>
    <w:p w14:paraId="43D2A057" w14:textId="008E3984" w:rsidR="000D2285" w:rsidRDefault="000D2285" w:rsidP="001B77B3">
      <w:r>
        <w:lastRenderedPageBreak/>
        <w:t xml:space="preserve">For example, the following </w:t>
      </w:r>
      <w:r w:rsidR="004260F0">
        <w:t xml:space="preserve">information could </w:t>
      </w:r>
      <w:r>
        <w:t xml:space="preserve">be considered in a </w:t>
      </w:r>
      <w:r w:rsidR="00DA0924">
        <w:t>guideline</w:t>
      </w:r>
      <w:r>
        <w:t xml:space="preserve">: </w:t>
      </w:r>
    </w:p>
    <w:p w14:paraId="730C240F" w14:textId="77777777" w:rsidR="00DA5454" w:rsidRDefault="00DA5454" w:rsidP="001B77B3"/>
    <w:p w14:paraId="3404D52A" w14:textId="7916D9D3" w:rsidR="000D2285" w:rsidRDefault="000D2285" w:rsidP="00353768">
      <w:pPr>
        <w:pStyle w:val="FSBullet1"/>
      </w:pPr>
      <w:r>
        <w:t xml:space="preserve">a description of the regulatory requirements relating </w:t>
      </w:r>
      <w:r w:rsidR="00671025">
        <w:t xml:space="preserve">to managing </w:t>
      </w:r>
      <w:r>
        <w:t>the public health risk from the migration of chemicals from packaging into food</w:t>
      </w:r>
    </w:p>
    <w:p w14:paraId="1ADD3DC9" w14:textId="42F5807E" w:rsidR="000D2285" w:rsidRDefault="000D2285" w:rsidP="00811C0B">
      <w:pPr>
        <w:pStyle w:val="FSBullet1"/>
        <w:ind w:right="-286"/>
      </w:pPr>
      <w:r>
        <w:t>identif</w:t>
      </w:r>
      <w:r w:rsidR="00CD7DF7">
        <w:t xml:space="preserve">ying </w:t>
      </w:r>
      <w:r>
        <w:t>where the responsibility lies for ensuring chemical migration risks are managed</w:t>
      </w:r>
    </w:p>
    <w:p w14:paraId="01E8669E" w14:textId="77777777" w:rsidR="000D2285" w:rsidRDefault="000D2285" w:rsidP="00353768">
      <w:pPr>
        <w:pStyle w:val="FSBullet1"/>
      </w:pPr>
      <w:r>
        <w:t>steps industry might take to demonstrate compliance with the regulatory requirements</w:t>
      </w:r>
    </w:p>
    <w:p w14:paraId="5151A9B3" w14:textId="682EEDE9" w:rsidR="000D2285" w:rsidRDefault="000D2285" w:rsidP="00353768">
      <w:pPr>
        <w:pStyle w:val="FSBullet1"/>
      </w:pPr>
      <w:r>
        <w:t xml:space="preserve">referencing overseas standards </w:t>
      </w:r>
      <w:r w:rsidR="005D62DD">
        <w:t>as</w:t>
      </w:r>
      <w:r>
        <w:t xml:space="preserve"> </w:t>
      </w:r>
      <w:r w:rsidR="00671025">
        <w:t xml:space="preserve">a means </w:t>
      </w:r>
      <w:r>
        <w:t>of industry demonstrating that packaging used is safe and suitable</w:t>
      </w:r>
    </w:p>
    <w:p w14:paraId="28172CF1" w14:textId="0D3EA6FB" w:rsidR="002A02B6" w:rsidRDefault="00CD7DF7" w:rsidP="00353768">
      <w:pPr>
        <w:pStyle w:val="FSBullet1"/>
      </w:pPr>
      <w:r>
        <w:t>p</w:t>
      </w:r>
      <w:r w:rsidR="002A02B6">
        <w:t xml:space="preserve">rocesses for assessing the safety of unknown packaging chemicals that may not have previously been found in food in Australia or New Zealand </w:t>
      </w:r>
    </w:p>
    <w:p w14:paraId="39658668" w14:textId="1436F109" w:rsidR="00DA5454" w:rsidRDefault="000D2285" w:rsidP="00353768">
      <w:pPr>
        <w:pStyle w:val="FSBullet1"/>
      </w:pPr>
      <w:r>
        <w:t>agreed enforcement strategies which will be pursued by the jurisdictions.</w:t>
      </w:r>
    </w:p>
    <w:p w14:paraId="74FEE862" w14:textId="77777777" w:rsidR="00D21DE4" w:rsidRDefault="00D21DE4" w:rsidP="001B77B3"/>
    <w:p w14:paraId="50227F9C" w14:textId="020413FC" w:rsidR="00EB6117" w:rsidRPr="00FE5024" w:rsidRDefault="00EB6117" w:rsidP="00EB6117">
      <w:r w:rsidRPr="00FE5024">
        <w:t xml:space="preserve">If guidelines are </w:t>
      </w:r>
      <w:r>
        <w:t xml:space="preserve">introduced </w:t>
      </w:r>
      <w:r w:rsidRPr="00FE5024">
        <w:t xml:space="preserve">they will </w:t>
      </w:r>
      <w:r>
        <w:t xml:space="preserve">require clarity around </w:t>
      </w:r>
      <w:r w:rsidRPr="00FE5024">
        <w:t>wh</w:t>
      </w:r>
      <w:r>
        <w:t>ich business</w:t>
      </w:r>
      <w:r w:rsidRPr="00FE5024">
        <w:t xml:space="preserve"> has responsibility for the compliance of the safety of the materials (packaging manufacturers </w:t>
      </w:r>
      <w:r>
        <w:t xml:space="preserve">i.e. suppliers </w:t>
      </w:r>
      <w:r w:rsidRPr="00FE5024">
        <w:t>and/or food manufacturers</w:t>
      </w:r>
      <w:r>
        <w:t>, importers or retailers</w:t>
      </w:r>
      <w:r w:rsidRPr="00FE5024">
        <w:t xml:space="preserve">) used in packaging of foods. </w:t>
      </w:r>
    </w:p>
    <w:p w14:paraId="568660A8" w14:textId="77777777" w:rsidR="00EB6117" w:rsidRPr="00FE5024" w:rsidRDefault="00EB6117" w:rsidP="00EB6117"/>
    <w:p w14:paraId="16977F00" w14:textId="2D81E9EB" w:rsidR="00A46A45" w:rsidRPr="00811C0B" w:rsidRDefault="00EB6117" w:rsidP="001B77B3">
      <w:r>
        <w:t>A g</w:t>
      </w:r>
      <w:r w:rsidRPr="00FE5024">
        <w:t xml:space="preserve">uideline </w:t>
      </w:r>
      <w:r>
        <w:t xml:space="preserve">also needs to enable </w:t>
      </w:r>
      <w:r w:rsidRPr="00FE5024">
        <w:t xml:space="preserve">flexibility for </w:t>
      </w:r>
      <w:r>
        <w:t xml:space="preserve">the use of </w:t>
      </w:r>
      <w:r w:rsidRPr="00FE5024">
        <w:t>different types of food contact materials that have varying levels of contact with food</w:t>
      </w:r>
      <w:r w:rsidR="00E76ACC">
        <w:t xml:space="preserve">. </w:t>
      </w:r>
      <w:r w:rsidRPr="00FE5024">
        <w:t>For example, long</w:t>
      </w:r>
      <w:r>
        <w:t>-</w:t>
      </w:r>
      <w:r w:rsidRPr="00FE5024">
        <w:t>term retail food storage packaging versus quick service restaurants</w:t>
      </w:r>
      <w:r>
        <w:t>’</w:t>
      </w:r>
      <w:r w:rsidRPr="00FE5024">
        <w:t xml:space="preserve"> products; these represent significantly different risk profiles</w:t>
      </w:r>
      <w:r>
        <w:t>.</w:t>
      </w:r>
      <w:r w:rsidR="004A78F1">
        <w:t xml:space="preserve"> </w:t>
      </w:r>
      <w:r w:rsidR="00353768">
        <w:t>A</w:t>
      </w:r>
      <w:r w:rsidR="004A78F1">
        <w:t xml:space="preserve">n </w:t>
      </w:r>
      <w:r w:rsidR="00A46A45">
        <w:t>example of the type of information that could be considered in a guideline</w:t>
      </w:r>
      <w:r w:rsidR="004A78F1">
        <w:t xml:space="preserve"> i</w:t>
      </w:r>
      <w:r w:rsidR="00353768">
        <w:t>s provided in</w:t>
      </w:r>
      <w:r w:rsidR="004A78F1">
        <w:t xml:space="preserve"> the</w:t>
      </w:r>
      <w:r w:rsidR="00353768">
        <w:t xml:space="preserve"> </w:t>
      </w:r>
      <w:r w:rsidR="00A46A45" w:rsidRPr="00A46A45">
        <w:t xml:space="preserve">EU guidance on </w:t>
      </w:r>
      <w:r w:rsidR="0078404F">
        <w:t>R</w:t>
      </w:r>
      <w:r w:rsidR="00A46A45" w:rsidRPr="00A46A45">
        <w:t>egulation No 10/2011</w:t>
      </w:r>
      <w:r w:rsidR="00353768">
        <w:rPr>
          <w:rStyle w:val="FootnoteReference"/>
        </w:rPr>
        <w:footnoteReference w:id="29"/>
      </w:r>
      <w:r w:rsidR="00353768">
        <w:t>.</w:t>
      </w:r>
      <w:r w:rsidR="00B719CC">
        <w:t xml:space="preserve"> </w:t>
      </w:r>
    </w:p>
    <w:p w14:paraId="69FAA3ED" w14:textId="1FA1E397" w:rsidR="0078404F" w:rsidRDefault="0078404F" w:rsidP="001B77B3"/>
    <w:p w14:paraId="41C0D81B" w14:textId="79CEC5DE" w:rsidR="004A78F1" w:rsidRPr="007B65CB" w:rsidRDefault="004A78F1" w:rsidP="004A78F1">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B65CB">
        <w:rPr>
          <w:b/>
        </w:rPr>
        <w:t>Question</w:t>
      </w:r>
      <w:r>
        <w:rPr>
          <w:b/>
        </w:rPr>
        <w:t>s</w:t>
      </w:r>
      <w:r w:rsidRPr="007B65CB">
        <w:rPr>
          <w:b/>
        </w:rPr>
        <w:t>:</w:t>
      </w:r>
    </w:p>
    <w:p w14:paraId="0E3010E2" w14:textId="77777777" w:rsidR="00AE4AD2" w:rsidRDefault="00AE4AD2" w:rsidP="001B77B3">
      <w:pPr>
        <w:pBdr>
          <w:top w:val="single" w:sz="4" w:space="1" w:color="auto"/>
          <w:left w:val="single" w:sz="4" w:space="4" w:color="auto"/>
          <w:bottom w:val="single" w:sz="4" w:space="1" w:color="auto"/>
          <w:right w:val="single" w:sz="4" w:space="4" w:color="auto"/>
        </w:pBdr>
        <w:shd w:val="clear" w:color="auto" w:fill="EAF1DD" w:themeFill="accent3" w:themeFillTint="33"/>
      </w:pPr>
    </w:p>
    <w:p w14:paraId="644CCE8A" w14:textId="05877036" w:rsidR="001B77B3" w:rsidRDefault="009B49B6" w:rsidP="004A78F1">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pPr>
      <w:r>
        <w:t>Q10</w:t>
      </w:r>
      <w:r w:rsidR="004A78F1">
        <w:tab/>
      </w:r>
      <w:r w:rsidR="001B77B3" w:rsidRPr="006B252A">
        <w:t xml:space="preserve">A guideline </w:t>
      </w:r>
      <w:r w:rsidR="001B77B3">
        <w:t>would</w:t>
      </w:r>
      <w:r w:rsidR="001B77B3" w:rsidRPr="006B252A">
        <w:t xml:space="preserve"> involve a degree of prescription</w:t>
      </w:r>
      <w:r w:rsidR="001B77B3" w:rsidRPr="006B252A">
        <w:rPr>
          <w:vertAlign w:val="superscript"/>
        </w:rPr>
        <w:footnoteReference w:id="30"/>
      </w:r>
      <w:r w:rsidR="001B77B3" w:rsidRPr="006B252A">
        <w:t xml:space="preserve"> (</w:t>
      </w:r>
      <w:r w:rsidR="001B77B3" w:rsidRPr="006B252A">
        <w:rPr>
          <w:i/>
        </w:rPr>
        <w:t>although it would not be mandated in the Code</w:t>
      </w:r>
      <w:r w:rsidR="001B77B3" w:rsidRPr="006B252A">
        <w:t>)</w:t>
      </w:r>
      <w:r w:rsidR="00671025">
        <w:t>.</w:t>
      </w:r>
      <w:r w:rsidR="001B77B3" w:rsidRPr="006B252A">
        <w:t xml:space="preserve"> FSANZ invites stakeholders to identify the costs and benefits </w:t>
      </w:r>
      <w:r w:rsidR="00302A52">
        <w:t xml:space="preserve">to industry, consumers and government </w:t>
      </w:r>
      <w:r w:rsidR="001B77B3" w:rsidRPr="006B252A">
        <w:t xml:space="preserve">of this approach in assisting industry (specifically SMEs) with </w:t>
      </w:r>
      <w:r w:rsidR="00CD7DF7">
        <w:t>identifying</w:t>
      </w:r>
      <w:r w:rsidR="001B77B3" w:rsidRPr="006B252A">
        <w:t>, characteris</w:t>
      </w:r>
      <w:r w:rsidR="00CD7DF7">
        <w:t>ing and managing</w:t>
      </w:r>
      <w:r w:rsidR="001B77B3" w:rsidRPr="006B252A">
        <w:t xml:space="preserve"> risks arising from CMPF</w:t>
      </w:r>
      <w:r w:rsidR="00671025">
        <w:t>.</w:t>
      </w:r>
      <w:r w:rsidR="001B77B3" w:rsidRPr="006B252A">
        <w:t xml:space="preserve"> </w:t>
      </w:r>
    </w:p>
    <w:p w14:paraId="1BC74A4E" w14:textId="2C45CAE0" w:rsidR="004260F0" w:rsidRDefault="004260F0" w:rsidP="004A78F1">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pPr>
    </w:p>
    <w:p w14:paraId="280ECA3B" w14:textId="37DFECD7" w:rsidR="0024229E" w:rsidRDefault="009B49B6" w:rsidP="004A78F1">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pPr>
      <w:r>
        <w:t>Q11</w:t>
      </w:r>
      <w:r w:rsidR="004A78F1">
        <w:tab/>
      </w:r>
      <w:r w:rsidR="004260F0">
        <w:t>Would the above information be appropriate for inclu</w:t>
      </w:r>
      <w:r w:rsidR="00CD7DF7">
        <w:t xml:space="preserve">ding </w:t>
      </w:r>
      <w:r w:rsidR="004260F0">
        <w:t xml:space="preserve">in a guideline or can you identify others that should be included? </w:t>
      </w:r>
    </w:p>
    <w:p w14:paraId="15270AB3" w14:textId="77777777" w:rsidR="005B207F" w:rsidRDefault="005B207F" w:rsidP="004A78F1">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pPr>
    </w:p>
    <w:p w14:paraId="619F4093" w14:textId="57E33833" w:rsidR="00291767" w:rsidRPr="00EB6117" w:rsidRDefault="009B49B6" w:rsidP="004A78F1">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pPr>
      <w:r>
        <w:t>Q12</w:t>
      </w:r>
      <w:r w:rsidR="004A78F1">
        <w:tab/>
      </w:r>
      <w:r w:rsidR="001B77B3" w:rsidRPr="00E51BA5">
        <w:t>Should all the</w:t>
      </w:r>
      <w:r w:rsidR="00A045A2">
        <w:t xml:space="preserve"> </w:t>
      </w:r>
      <w:r w:rsidR="00303579">
        <w:t xml:space="preserve">industry standards and </w:t>
      </w:r>
      <w:r w:rsidR="001B77B3" w:rsidRPr="00E51BA5">
        <w:t xml:space="preserve">CoPs </w:t>
      </w:r>
      <w:r w:rsidR="00773C4A">
        <w:t>identified in option 3</w:t>
      </w:r>
      <w:r w:rsidR="00A045A2">
        <w:t xml:space="preserve">b </w:t>
      </w:r>
      <w:r w:rsidR="001B77B3" w:rsidRPr="00E51BA5">
        <w:t xml:space="preserve">be included in </w:t>
      </w:r>
      <w:r w:rsidR="000D245E">
        <w:t>a</w:t>
      </w:r>
      <w:r w:rsidR="001B77B3" w:rsidRPr="00E51BA5">
        <w:t xml:space="preserve"> guideline </w:t>
      </w:r>
      <w:r w:rsidR="00A93AE2">
        <w:t xml:space="preserve">under this current Proposal (versus a separate process) </w:t>
      </w:r>
      <w:r w:rsidR="001B77B3" w:rsidRPr="00E51BA5">
        <w:t xml:space="preserve">to maximise coverage of all requirements for packaging or only specific ones that include reference to food safety measures or </w:t>
      </w:r>
      <w:r w:rsidR="007053C1">
        <w:t>prescribed</w:t>
      </w:r>
      <w:r w:rsidR="001B77B3" w:rsidRPr="00E51BA5">
        <w:t xml:space="preserve"> limits in them?</w:t>
      </w:r>
      <w:r w:rsidR="00291767">
        <w:t xml:space="preserve"> In your answer </w:t>
      </w:r>
      <w:r w:rsidR="00303579">
        <w:t xml:space="preserve">please </w:t>
      </w:r>
      <w:r w:rsidR="00291767">
        <w:t xml:space="preserve">be </w:t>
      </w:r>
      <w:r w:rsidR="00520FD6">
        <w:t xml:space="preserve">as </w:t>
      </w:r>
      <w:r w:rsidR="00291767">
        <w:t>specific as possible to identify the most-appropriate guideline that would address CMPF</w:t>
      </w:r>
      <w:r w:rsidR="00E76ACC">
        <w:t xml:space="preserve">. </w:t>
      </w:r>
    </w:p>
    <w:p w14:paraId="1DCAE5C2" w14:textId="63B2AAFB" w:rsidR="001B77B3" w:rsidRPr="00A5120E" w:rsidRDefault="001B77B3" w:rsidP="00353768">
      <w:pPr>
        <w:pStyle w:val="Heading5"/>
        <w:rPr>
          <w:rFonts w:eastAsiaTheme="majorEastAsia"/>
        </w:rPr>
      </w:pPr>
      <w:r w:rsidRPr="00A5120E">
        <w:rPr>
          <w:rFonts w:eastAsiaTheme="majorEastAsia"/>
        </w:rPr>
        <w:t>Strengthening requirements in the Code (regulatory)</w:t>
      </w:r>
    </w:p>
    <w:p w14:paraId="645F359A" w14:textId="6A201411" w:rsidR="001B77B3" w:rsidRDefault="001B77B3" w:rsidP="003C2EAF">
      <w:r>
        <w:t>S</w:t>
      </w:r>
      <w:r w:rsidRPr="00A5120E">
        <w:t xml:space="preserve">pecific submitters </w:t>
      </w:r>
      <w:r>
        <w:t xml:space="preserve">have </w:t>
      </w:r>
      <w:r w:rsidRPr="00A5120E">
        <w:t xml:space="preserve">suggested that the </w:t>
      </w:r>
      <w:r w:rsidR="004A78F1">
        <w:t>requirement</w:t>
      </w:r>
      <w:r w:rsidRPr="00A5120E">
        <w:t>s in the Code</w:t>
      </w:r>
      <w:r w:rsidR="00676F29">
        <w:t xml:space="preserve"> </w:t>
      </w:r>
      <w:r w:rsidRPr="00A5120E">
        <w:t xml:space="preserve">do not provide businesses with adequate information or direction to ensure that they only use packaging materials that are safe. </w:t>
      </w:r>
    </w:p>
    <w:p w14:paraId="7984D8A6" w14:textId="77777777" w:rsidR="00676F29" w:rsidRDefault="00676F29" w:rsidP="00DE59B5"/>
    <w:p w14:paraId="6DA8F49D" w14:textId="52BA62CB" w:rsidR="00811C0B" w:rsidRDefault="004E2A97" w:rsidP="00811C0B">
      <w:pPr>
        <w:ind w:right="-286"/>
      </w:pPr>
      <w:r>
        <w:t>A</w:t>
      </w:r>
      <w:r w:rsidR="00E97356">
        <w:t xml:space="preserve">s explained above, </w:t>
      </w:r>
      <w:r w:rsidR="00E97356">
        <w:rPr>
          <w:rFonts w:cs="Arial"/>
        </w:rPr>
        <w:t xml:space="preserve">the </w:t>
      </w:r>
      <w:r w:rsidR="00E97356" w:rsidRPr="00E97356">
        <w:t>FSANZ Act</w:t>
      </w:r>
      <w:r w:rsidR="00E97356">
        <w:t xml:space="preserve"> limits the ability to make food standards that apply to food packaging manufacturers as opposed to food businesses that use food packaging or package food for sale. This limits the ability to make a food standard that will govern</w:t>
      </w:r>
      <w:r w:rsidR="00E97356" w:rsidRPr="00A5120E">
        <w:t xml:space="preserve"> the entire packaging and food supply chain (</w:t>
      </w:r>
      <w:r w:rsidR="00E97356">
        <w:t xml:space="preserve">food </w:t>
      </w:r>
      <w:r w:rsidR="00E97356" w:rsidRPr="00A5120E">
        <w:t>packaging manufacture</w:t>
      </w:r>
      <w:r w:rsidR="00E97356">
        <w:t>r</w:t>
      </w:r>
      <w:r w:rsidR="00E97356" w:rsidRPr="00A5120E">
        <w:t xml:space="preserve">s and suppliers (including importers of </w:t>
      </w:r>
      <w:r w:rsidR="00E97356">
        <w:t xml:space="preserve">food </w:t>
      </w:r>
      <w:r w:rsidR="00E97356" w:rsidRPr="00A5120E">
        <w:t xml:space="preserve">packaging) </w:t>
      </w:r>
      <w:r w:rsidR="00E97356">
        <w:t>as well as</w:t>
      </w:r>
      <w:r w:rsidR="00E97356" w:rsidRPr="00A5120E">
        <w:t xml:space="preserve"> food businesses (importers and suppliers of food)</w:t>
      </w:r>
      <w:r w:rsidR="00AA5A25">
        <w:t>).</w:t>
      </w:r>
      <w:r w:rsidR="00811C0B">
        <w:br w:type="page"/>
      </w:r>
    </w:p>
    <w:p w14:paraId="4C885CF3" w14:textId="78DDDAF1" w:rsidR="00DA7840" w:rsidRDefault="004E2A97" w:rsidP="001B77B3">
      <w:r>
        <w:lastRenderedPageBreak/>
        <w:t>However, FSANZ does have the option of</w:t>
      </w:r>
      <w:r w:rsidR="001B77B3" w:rsidRPr="00A5120E">
        <w:t xml:space="preserve"> </w:t>
      </w:r>
      <w:r w:rsidR="001B77B3">
        <w:t>amend</w:t>
      </w:r>
      <w:r>
        <w:t>ing</w:t>
      </w:r>
      <w:r w:rsidR="001B77B3">
        <w:t xml:space="preserve"> the</w:t>
      </w:r>
      <w:r>
        <w:t xml:space="preserve"> relevant</w:t>
      </w:r>
      <w:r w:rsidR="001B77B3">
        <w:t xml:space="preserve"> </w:t>
      </w:r>
      <w:r w:rsidR="001B77B3" w:rsidRPr="00A5120E">
        <w:t xml:space="preserve">standards </w:t>
      </w:r>
      <w:r>
        <w:t xml:space="preserve">in the Code to require </w:t>
      </w:r>
      <w:r w:rsidR="00DA7840">
        <w:t xml:space="preserve">food businesses </w:t>
      </w:r>
      <w:r>
        <w:t xml:space="preserve">to </w:t>
      </w:r>
      <w:r w:rsidR="00DA7840">
        <w:t>ensure (</w:t>
      </w:r>
      <w:r w:rsidR="00DD6DFE">
        <w:t xml:space="preserve">e.g. </w:t>
      </w:r>
      <w:r w:rsidR="00DA7840">
        <w:t xml:space="preserve">through certification) that the </w:t>
      </w:r>
      <w:r w:rsidR="009E7D2A">
        <w:t xml:space="preserve">food </w:t>
      </w:r>
      <w:r w:rsidR="00DA7840">
        <w:t xml:space="preserve">packaging </w:t>
      </w:r>
      <w:r>
        <w:t xml:space="preserve">that they purchase and use </w:t>
      </w:r>
      <w:r w:rsidR="00DA7840">
        <w:t>has been made under GMP and meets specific standards in</w:t>
      </w:r>
      <w:r w:rsidR="00DD6DFE">
        <w:t xml:space="preserve"> place internationally (e.g. EU</w:t>
      </w:r>
      <w:r w:rsidR="00990832">
        <w:t>,</w:t>
      </w:r>
      <w:r w:rsidR="00DD6DFE">
        <w:t xml:space="preserve"> </w:t>
      </w:r>
      <w:r w:rsidR="00DA7840">
        <w:t xml:space="preserve">US </w:t>
      </w:r>
      <w:r w:rsidR="00990832">
        <w:t xml:space="preserve">or other </w:t>
      </w:r>
      <w:r w:rsidR="008603A0">
        <w:t>regulations</w:t>
      </w:r>
      <w:r w:rsidR="00DA7840">
        <w:t xml:space="preserve">). </w:t>
      </w:r>
    </w:p>
    <w:p w14:paraId="3176C49B" w14:textId="77777777" w:rsidR="008E54EE" w:rsidRDefault="008E54EE" w:rsidP="001B77B3"/>
    <w:p w14:paraId="2859E4A6" w14:textId="1C77D82D" w:rsidR="00990832" w:rsidRDefault="00990832" w:rsidP="00990832">
      <w:pPr>
        <w:autoSpaceDE w:val="0"/>
        <w:autoSpaceDN w:val="0"/>
        <w:adjustRightInd w:val="0"/>
      </w:pPr>
      <w:r>
        <w:rPr>
          <w:rFonts w:cs="Arial"/>
        </w:rPr>
        <w:t>In Australia food law relies primarily on the substantive provisions of the Food Acts – as opposed to the Code applied by those Acts – to regulate the activities of the food packaging industry</w:t>
      </w:r>
      <w:r>
        <w:rPr>
          <w:rStyle w:val="FootnoteReference"/>
          <w:rFonts w:cs="Arial"/>
        </w:rPr>
        <w:footnoteReference w:id="31"/>
      </w:r>
      <w:r>
        <w:rPr>
          <w:rFonts w:cs="Arial"/>
        </w:rPr>
        <w:t xml:space="preserve">. This reflects in part that the </w:t>
      </w:r>
      <w:r w:rsidRPr="00E97356">
        <w:t>FSANZ Act</w:t>
      </w:r>
      <w:r>
        <w:t xml:space="preserve"> limits the ability to make food standards that apply to food packaging manufacturers as opposed to food businesses that use food packaging or package food for sale</w:t>
      </w:r>
      <w:r>
        <w:rPr>
          <w:rStyle w:val="FootnoteReference"/>
        </w:rPr>
        <w:footnoteReference w:id="32"/>
      </w:r>
      <w:r>
        <w:t>. Therefore, consideration of a review of the Food Act provisions could also form part of the graduated approach</w:t>
      </w:r>
      <w:r w:rsidR="00462A77">
        <w:t xml:space="preserve">. </w:t>
      </w:r>
    </w:p>
    <w:p w14:paraId="7481E54C" w14:textId="77777777" w:rsidR="005B207F" w:rsidRDefault="005B207F" w:rsidP="00990832">
      <w:pPr>
        <w:autoSpaceDE w:val="0"/>
        <w:autoSpaceDN w:val="0"/>
        <w:adjustRightInd w:val="0"/>
      </w:pPr>
    </w:p>
    <w:p w14:paraId="5F21399A" w14:textId="08E74691" w:rsidR="004A78F1" w:rsidRPr="007B65CB" w:rsidRDefault="004A78F1" w:rsidP="004A78F1">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B65CB">
        <w:rPr>
          <w:b/>
        </w:rPr>
        <w:t>Question</w:t>
      </w:r>
      <w:r w:rsidR="00D927E0">
        <w:rPr>
          <w:b/>
        </w:rPr>
        <w:t>s</w:t>
      </w:r>
      <w:r w:rsidRPr="007B65CB">
        <w:rPr>
          <w:b/>
        </w:rPr>
        <w:t>:</w:t>
      </w:r>
    </w:p>
    <w:p w14:paraId="5EEDDB47" w14:textId="77777777" w:rsidR="001B77B3" w:rsidRDefault="001B77B3" w:rsidP="001B77B3">
      <w:pPr>
        <w:pBdr>
          <w:top w:val="single" w:sz="4" w:space="1" w:color="auto"/>
          <w:left w:val="single" w:sz="4" w:space="4" w:color="auto"/>
          <w:bottom w:val="single" w:sz="4" w:space="1" w:color="auto"/>
          <w:right w:val="single" w:sz="4" w:space="4" w:color="auto"/>
        </w:pBdr>
        <w:shd w:val="clear" w:color="auto" w:fill="EAF1DD" w:themeFill="accent3" w:themeFillTint="33"/>
        <w:rPr>
          <w:b/>
        </w:rPr>
      </w:pPr>
    </w:p>
    <w:p w14:paraId="51C20046" w14:textId="66FF56B0" w:rsidR="001B77B3" w:rsidRDefault="009B49B6" w:rsidP="00353768">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bCs/>
        </w:rPr>
      </w:pPr>
      <w:r>
        <w:t>Q13</w:t>
      </w:r>
      <w:r w:rsidR="004A78F1">
        <w:tab/>
      </w:r>
      <w:r w:rsidR="00353768">
        <w:rPr>
          <w:bCs/>
        </w:rPr>
        <w:t>W</w:t>
      </w:r>
      <w:r w:rsidR="00353768" w:rsidRPr="00353768">
        <w:rPr>
          <w:bCs/>
        </w:rPr>
        <w:t>hat do you see as costs and benefits for gov</w:t>
      </w:r>
      <w:r w:rsidR="00353768">
        <w:rPr>
          <w:bCs/>
        </w:rPr>
        <w:t>ernment</w:t>
      </w:r>
      <w:r w:rsidR="00353768" w:rsidRPr="00353768">
        <w:rPr>
          <w:bCs/>
        </w:rPr>
        <w:t xml:space="preserve">, consumers and industry of this measure? Would it be cost effective? Please detail any other options that you think are </w:t>
      </w:r>
      <w:r w:rsidR="0093326E">
        <w:rPr>
          <w:bCs/>
        </w:rPr>
        <w:t xml:space="preserve">appropriate, or available, </w:t>
      </w:r>
      <w:r w:rsidR="00353768" w:rsidRPr="00353768">
        <w:rPr>
          <w:bCs/>
        </w:rPr>
        <w:t>to strengthen or clarify existing Code requirements and the reasons why, including the costs and benefits of such a measure?</w:t>
      </w:r>
    </w:p>
    <w:p w14:paraId="338C77AD" w14:textId="7FC9E2BE" w:rsidR="00990832" w:rsidRDefault="00990832" w:rsidP="00353768">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pPr>
    </w:p>
    <w:p w14:paraId="146B9F45" w14:textId="6D341735" w:rsidR="00990832" w:rsidRDefault="00990832" w:rsidP="00353768">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pPr>
      <w:r>
        <w:t>Q1</w:t>
      </w:r>
      <w:r w:rsidR="009B49B6">
        <w:t>4</w:t>
      </w:r>
      <w:r>
        <w:tab/>
        <w:t>Do you consider that there is scope to improve the Food Acts provisions regulating the sale of food packaging in Australia and New Zealand</w:t>
      </w:r>
      <w:r>
        <w:rPr>
          <w:rFonts w:cs="Arial"/>
        </w:rPr>
        <w:t>?</w:t>
      </w:r>
    </w:p>
    <w:p w14:paraId="1A917039" w14:textId="2F513DFB" w:rsidR="001B77B3" w:rsidRPr="007D4222" w:rsidRDefault="000F4C87" w:rsidP="007D4222">
      <w:pPr>
        <w:pStyle w:val="Heading4"/>
        <w:rPr>
          <w:rFonts w:eastAsiaTheme="majorEastAsia"/>
        </w:rPr>
      </w:pPr>
      <w:bookmarkStart w:id="53" w:name="_Toc434410060"/>
      <w:r w:rsidRPr="007D4222">
        <w:rPr>
          <w:rFonts w:eastAsiaTheme="majorEastAsia"/>
        </w:rPr>
        <w:t>2.</w:t>
      </w:r>
      <w:r w:rsidR="00CB36C3" w:rsidRPr="007D4222">
        <w:rPr>
          <w:rFonts w:eastAsiaTheme="majorEastAsia"/>
        </w:rPr>
        <w:t>3.4</w:t>
      </w:r>
      <w:r w:rsidR="00AE4AD2" w:rsidRPr="007D4222">
        <w:rPr>
          <w:rFonts w:eastAsiaTheme="majorEastAsia"/>
        </w:rPr>
        <w:t>.2</w:t>
      </w:r>
      <w:r w:rsidR="001B77B3" w:rsidRPr="007D4222">
        <w:rPr>
          <w:rFonts w:eastAsiaTheme="majorEastAsia"/>
        </w:rPr>
        <w:tab/>
        <w:t xml:space="preserve">Chemicals of concern </w:t>
      </w:r>
      <w:r w:rsidR="00AE4AD2" w:rsidRPr="007D4222">
        <w:rPr>
          <w:rFonts w:eastAsiaTheme="majorEastAsia"/>
        </w:rPr>
        <w:t xml:space="preserve">or high risk </w:t>
      </w:r>
      <w:r w:rsidR="001B77B3" w:rsidRPr="007D4222">
        <w:rPr>
          <w:rFonts w:eastAsiaTheme="majorEastAsia"/>
        </w:rPr>
        <w:t xml:space="preserve">(regulatory approach) </w:t>
      </w:r>
    </w:p>
    <w:p w14:paraId="6E030894" w14:textId="77777777" w:rsidR="0089174C" w:rsidRDefault="0089174C" w:rsidP="0089174C">
      <w:r>
        <w:t xml:space="preserve">These chemicals </w:t>
      </w:r>
      <w:r w:rsidRPr="00A5120E">
        <w:t xml:space="preserve">of </w:t>
      </w:r>
      <w:r>
        <w:t>concern meet</w:t>
      </w:r>
      <w:r w:rsidRPr="00A5120E">
        <w:t xml:space="preserve"> </w:t>
      </w:r>
      <w:r>
        <w:t xml:space="preserve">all or one </w:t>
      </w:r>
      <w:r w:rsidRPr="00A5120E">
        <w:t xml:space="preserve">the following criteria: </w:t>
      </w:r>
    </w:p>
    <w:p w14:paraId="056CFFDE" w14:textId="77777777" w:rsidR="0089174C" w:rsidRPr="00A5120E" w:rsidRDefault="0089174C" w:rsidP="0089174C"/>
    <w:p w14:paraId="41A0A2EB" w14:textId="77777777" w:rsidR="0089174C" w:rsidRPr="00A5120E" w:rsidRDefault="0089174C" w:rsidP="0089174C">
      <w:pPr>
        <w:pStyle w:val="FSBullet1"/>
      </w:pPr>
      <w:r>
        <w:t xml:space="preserve">they pose a higher inherent risk (adverse effects established from animal studies) and exceed health-based guidance limits </w:t>
      </w:r>
    </w:p>
    <w:p w14:paraId="4A96DED9" w14:textId="77777777" w:rsidR="0089174C" w:rsidRPr="00A5120E" w:rsidRDefault="0089174C" w:rsidP="0089174C">
      <w:pPr>
        <w:pStyle w:val="FSBullet1"/>
      </w:pPr>
      <w:r>
        <w:t xml:space="preserve">there are </w:t>
      </w:r>
      <w:r w:rsidRPr="00A5120E">
        <w:t>insufficient ris</w:t>
      </w:r>
      <w:r>
        <w:t>k mitigation measures in place to control CMPF and i</w:t>
      </w:r>
      <w:r w:rsidRPr="00A5120E">
        <w:t>nadequate knowledge of</w:t>
      </w:r>
      <w:r>
        <w:t xml:space="preserve"> the risks associated with CMPF in some businesses both of which increase the residual risk</w:t>
      </w:r>
    </w:p>
    <w:p w14:paraId="18EFFDA1" w14:textId="77777777" w:rsidR="0089174C" w:rsidRDefault="0089174C" w:rsidP="0089174C">
      <w:pPr>
        <w:pStyle w:val="FSBullet1"/>
      </w:pPr>
      <w:r>
        <w:t>there is a need for f</w:t>
      </w:r>
      <w:r w:rsidRPr="00A5120E">
        <w:t>urther monitoring</w:t>
      </w:r>
      <w:r>
        <w:t xml:space="preserve">, </w:t>
      </w:r>
      <w:r w:rsidRPr="00A5120E">
        <w:t xml:space="preserve">surveillance and characterisation of </w:t>
      </w:r>
      <w:r>
        <w:t>the risk</w:t>
      </w:r>
      <w:r w:rsidRPr="00A5120E">
        <w:t xml:space="preserve">. </w:t>
      </w:r>
    </w:p>
    <w:p w14:paraId="7B709ECA" w14:textId="77777777" w:rsidR="003103CD" w:rsidRPr="00AD114C" w:rsidRDefault="003103CD" w:rsidP="00AD114C">
      <w:pPr>
        <w:rPr>
          <w:rFonts w:eastAsiaTheme="majorEastAsia"/>
          <w:lang w:eastAsia="en-AU" w:bidi="ar-SA"/>
        </w:rPr>
      </w:pPr>
    </w:p>
    <w:p w14:paraId="28A9A411" w14:textId="15CBCC84" w:rsidR="00922D3D" w:rsidRDefault="004012A8" w:rsidP="002618A9">
      <w:pPr>
        <w:spacing w:after="200"/>
      </w:pPr>
      <w:r w:rsidRPr="00A5120E">
        <w:t xml:space="preserve">From the risk </w:t>
      </w:r>
      <w:r>
        <w:t xml:space="preserve">profile work </w:t>
      </w:r>
      <w:r w:rsidRPr="00A5120E">
        <w:t>FSANZ has identified two chemi</w:t>
      </w:r>
      <w:r>
        <w:t>cals (DEHP and DINP) t</w:t>
      </w:r>
      <w:r w:rsidRPr="00A5120E">
        <w:t xml:space="preserve">hat </w:t>
      </w:r>
      <w:r w:rsidR="00830080">
        <w:t xml:space="preserve">meet the above criteria. </w:t>
      </w:r>
      <w:r w:rsidRPr="00A5120E">
        <w:t>Further survey work is under</w:t>
      </w:r>
      <w:r w:rsidR="00D927E0">
        <w:t xml:space="preserve"> </w:t>
      </w:r>
      <w:r w:rsidRPr="00A5120E">
        <w:t xml:space="preserve">way to </w:t>
      </w:r>
      <w:r w:rsidR="00CF1181">
        <w:t xml:space="preserve">help </w:t>
      </w:r>
      <w:r w:rsidRPr="00A5120E">
        <w:t>characteris</w:t>
      </w:r>
      <w:r w:rsidR="00CF1181">
        <w:t xml:space="preserve">e </w:t>
      </w:r>
      <w:r w:rsidRPr="00A5120E">
        <w:t xml:space="preserve">the risks of DEHP and DINP. </w:t>
      </w:r>
    </w:p>
    <w:p w14:paraId="4EB192D6" w14:textId="28A30D24" w:rsidR="004A78F1" w:rsidRPr="007B65CB" w:rsidRDefault="004A78F1" w:rsidP="004A78F1">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B65CB">
        <w:rPr>
          <w:b/>
        </w:rPr>
        <w:t>Question:</w:t>
      </w:r>
    </w:p>
    <w:p w14:paraId="6D13A13E" w14:textId="77777777" w:rsidR="00AE4AD2" w:rsidRDefault="00AE4AD2" w:rsidP="001B77B3">
      <w:pPr>
        <w:pBdr>
          <w:top w:val="single" w:sz="4" w:space="1" w:color="auto"/>
          <w:left w:val="single" w:sz="4" w:space="4" w:color="auto"/>
          <w:bottom w:val="single" w:sz="4" w:space="1" w:color="auto"/>
          <w:right w:val="single" w:sz="4" w:space="4" w:color="auto"/>
        </w:pBdr>
        <w:shd w:val="clear" w:color="auto" w:fill="EAF1DD" w:themeFill="accent3" w:themeFillTint="33"/>
      </w:pPr>
    </w:p>
    <w:p w14:paraId="162F3364" w14:textId="7AC940E7" w:rsidR="001B77B3" w:rsidRDefault="00E229FE" w:rsidP="00D927E0">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pPr>
      <w:r>
        <w:t>Q15</w:t>
      </w:r>
      <w:r w:rsidR="004A78F1">
        <w:tab/>
      </w:r>
      <w:r w:rsidR="004C5439">
        <w:t>Do you consider that the Code should include specific limits for DEHP and DINP for all foods similar to the limits set used for other packaging chemicals (tin, vinyl chloride and acrylonitrile)</w:t>
      </w:r>
      <w:r w:rsidR="00462A77">
        <w:t xml:space="preserve">. </w:t>
      </w:r>
      <w:r w:rsidR="004C5439">
        <w:t>What do you see as the costs and benefits to industry, enforcement agencies and consumers of this approach?</w:t>
      </w:r>
    </w:p>
    <w:p w14:paraId="2BD333E2" w14:textId="12FEDB98" w:rsidR="001B77B3" w:rsidRPr="006E7196" w:rsidRDefault="000F4C87" w:rsidP="00E700B2">
      <w:pPr>
        <w:pStyle w:val="Heading3"/>
      </w:pPr>
      <w:bookmarkStart w:id="54" w:name="_Toc452645336"/>
      <w:r w:rsidRPr="006E7196">
        <w:t>2.</w:t>
      </w:r>
      <w:r w:rsidR="00CB36C3">
        <w:t>3.5</w:t>
      </w:r>
      <w:r w:rsidRPr="006E7196">
        <w:tab/>
      </w:r>
      <w:r w:rsidR="001B77B3" w:rsidRPr="006E7196">
        <w:t xml:space="preserve"> Post-market surveillance</w:t>
      </w:r>
      <w:bookmarkEnd w:id="53"/>
      <w:bookmarkEnd w:id="54"/>
      <w:r w:rsidR="001B77B3" w:rsidRPr="006E7196">
        <w:t xml:space="preserve"> </w:t>
      </w:r>
    </w:p>
    <w:p w14:paraId="607A338D" w14:textId="7DD6A6AC" w:rsidR="001B77B3" w:rsidRDefault="001B77B3" w:rsidP="001B77B3">
      <w:r>
        <w:t>Post-market surveillance may be a key</w:t>
      </w:r>
      <w:r w:rsidR="00671025">
        <w:t xml:space="preserve"> </w:t>
      </w:r>
      <w:r>
        <w:t xml:space="preserve">issue for Options </w:t>
      </w:r>
      <w:r w:rsidR="00533DDC">
        <w:t>3 and 4</w:t>
      </w:r>
      <w:r w:rsidR="00E76ACC">
        <w:t xml:space="preserve">. </w:t>
      </w:r>
      <w:r>
        <w:t xml:space="preserve">This issue can be addressed in consultation with food regulatory agencies and in </w:t>
      </w:r>
      <w:r w:rsidR="004A78F1">
        <w:t>a further</w:t>
      </w:r>
      <w:r>
        <w:t xml:space="preserve"> call for submissions.</w:t>
      </w:r>
    </w:p>
    <w:p w14:paraId="4B1888E1" w14:textId="17DD6B4C" w:rsidR="00D927E0" w:rsidRDefault="00D927E0" w:rsidP="001B77B3">
      <w:r>
        <w:br w:type="page"/>
      </w:r>
    </w:p>
    <w:tbl>
      <w:tblPr>
        <w:tblStyle w:val="TableGrid"/>
        <w:tblW w:w="0" w:type="auto"/>
        <w:tblLook w:val="04A0" w:firstRow="1" w:lastRow="0" w:firstColumn="1" w:lastColumn="0" w:noHBand="0" w:noVBand="1"/>
      </w:tblPr>
      <w:tblGrid>
        <w:gridCol w:w="9242"/>
      </w:tblGrid>
      <w:tr w:rsidR="001B77B3" w14:paraId="6BDB73C1" w14:textId="67952F36" w:rsidTr="001B77B3">
        <w:tc>
          <w:tcPr>
            <w:tcW w:w="9242" w:type="dxa"/>
            <w:shd w:val="clear" w:color="auto" w:fill="EAF1DD" w:themeFill="accent3" w:themeFillTint="33"/>
          </w:tcPr>
          <w:p w14:paraId="005961CD" w14:textId="6A1E9897" w:rsidR="0078404F" w:rsidRPr="00E700B2" w:rsidRDefault="004A78F1" w:rsidP="001B77B3">
            <w:pPr>
              <w:shd w:val="clear" w:color="auto" w:fill="EAF1DD" w:themeFill="accent3" w:themeFillTint="33"/>
              <w:rPr>
                <w:b/>
              </w:rPr>
            </w:pPr>
            <w:r w:rsidRPr="00E700B2">
              <w:rPr>
                <w:b/>
              </w:rPr>
              <w:lastRenderedPageBreak/>
              <w:t>Questions:</w:t>
            </w:r>
          </w:p>
          <w:p w14:paraId="5143E5D7" w14:textId="32D0B8B1" w:rsidR="004A78F1" w:rsidRDefault="004A78F1" w:rsidP="001B77B3">
            <w:pPr>
              <w:shd w:val="clear" w:color="auto" w:fill="EAF1DD" w:themeFill="accent3" w:themeFillTint="33"/>
            </w:pPr>
          </w:p>
          <w:p w14:paraId="1294C85E" w14:textId="3151F34A" w:rsidR="001B77B3" w:rsidRPr="006D6323" w:rsidRDefault="00E229FE" w:rsidP="004A78F1">
            <w:pPr>
              <w:shd w:val="clear" w:color="auto" w:fill="EAF1DD" w:themeFill="accent3" w:themeFillTint="33"/>
              <w:ind w:left="567" w:hanging="567"/>
            </w:pPr>
            <w:r>
              <w:t>Q16</w:t>
            </w:r>
            <w:r w:rsidR="004A78F1">
              <w:tab/>
            </w:r>
            <w:r w:rsidR="005B4F68">
              <w:t xml:space="preserve">Which </w:t>
            </w:r>
            <w:r w:rsidR="001B77B3">
              <w:t xml:space="preserve">peak bodies should be involved in familiarising industry </w:t>
            </w:r>
            <w:r w:rsidR="005B4F68">
              <w:t xml:space="preserve">with </w:t>
            </w:r>
            <w:r w:rsidR="00DD6DFE">
              <w:t>any</w:t>
            </w:r>
            <w:r w:rsidR="001B77B3">
              <w:t xml:space="preserve"> new provisions or raising awareness of CMPF? </w:t>
            </w:r>
          </w:p>
          <w:p w14:paraId="70D77C69" w14:textId="68E3AC89" w:rsidR="001B77B3" w:rsidRDefault="001B77B3" w:rsidP="004A78F1">
            <w:pPr>
              <w:shd w:val="clear" w:color="auto" w:fill="EAF1DD" w:themeFill="accent3" w:themeFillTint="33"/>
              <w:ind w:left="567" w:hanging="567"/>
            </w:pPr>
          </w:p>
          <w:p w14:paraId="15CCC62D" w14:textId="346B2996" w:rsidR="0078404F" w:rsidRDefault="00E229FE" w:rsidP="00D927E0">
            <w:pPr>
              <w:shd w:val="clear" w:color="auto" w:fill="EAF1DD" w:themeFill="accent3" w:themeFillTint="33"/>
              <w:ind w:left="567" w:hanging="567"/>
            </w:pPr>
            <w:r>
              <w:t>Q17</w:t>
            </w:r>
            <w:r w:rsidR="004A78F1">
              <w:tab/>
            </w:r>
            <w:r w:rsidR="005B4F68">
              <w:t xml:space="preserve">How </w:t>
            </w:r>
            <w:r w:rsidR="007133DA">
              <w:t xml:space="preserve">could </w:t>
            </w:r>
            <w:r w:rsidR="005B4F68">
              <w:t xml:space="preserve">post-market </w:t>
            </w:r>
            <w:r w:rsidR="008A6179">
              <w:t>surveillance be</w:t>
            </w:r>
            <w:r w:rsidR="005B4F68">
              <w:t xml:space="preserve"> </w:t>
            </w:r>
            <w:r w:rsidR="00501E53">
              <w:t xml:space="preserve">conducted satisfactorily? </w:t>
            </w:r>
            <w:r w:rsidR="007133DA">
              <w:t xml:space="preserve"> Who would undertake such surveillance?</w:t>
            </w:r>
          </w:p>
        </w:tc>
      </w:tr>
    </w:tbl>
    <w:p w14:paraId="63A973E9" w14:textId="0D3C72E4" w:rsidR="00712A69" w:rsidRDefault="00712A69" w:rsidP="00E700B2">
      <w:pPr>
        <w:pStyle w:val="Heading3"/>
      </w:pPr>
      <w:bookmarkStart w:id="55" w:name="_Toc452645337"/>
      <w:r w:rsidRPr="006E7196">
        <w:t>2.</w:t>
      </w:r>
      <w:r w:rsidR="00CB36C3">
        <w:t>3.6</w:t>
      </w:r>
      <w:r w:rsidRPr="006E7196">
        <w:tab/>
      </w:r>
      <w:r>
        <w:t>Additional risk</w:t>
      </w:r>
      <w:r w:rsidR="00671025">
        <w:t xml:space="preserve"> </w:t>
      </w:r>
      <w:r>
        <w:t>management questions</w:t>
      </w:r>
      <w:bookmarkEnd w:id="55"/>
      <w:r>
        <w:t xml:space="preserve"> </w:t>
      </w:r>
    </w:p>
    <w:p w14:paraId="1D0A80EE" w14:textId="64083EFF" w:rsidR="00DE523B" w:rsidRDefault="00DE523B" w:rsidP="001B77B3">
      <w:r>
        <w:t xml:space="preserve">FSANZ also invites your additional input on the following: </w:t>
      </w:r>
    </w:p>
    <w:p w14:paraId="266642CA" w14:textId="77777777" w:rsidR="00AE3C34" w:rsidRDefault="00AE3C34" w:rsidP="001B77B3"/>
    <w:p w14:paraId="00649A35" w14:textId="5AEA0863" w:rsidR="00DE523B" w:rsidRPr="00E700B2" w:rsidRDefault="004A78F1" w:rsidP="00366E4F">
      <w:pPr>
        <w:widowControl/>
        <w:pBdr>
          <w:top w:val="single" w:sz="4" w:space="1" w:color="auto"/>
          <w:left w:val="single" w:sz="4" w:space="4" w:color="auto"/>
          <w:bottom w:val="single" w:sz="4" w:space="1" w:color="auto"/>
          <w:right w:val="single" w:sz="4" w:space="4" w:color="auto"/>
        </w:pBdr>
        <w:shd w:val="clear" w:color="auto" w:fill="EAF1DD" w:themeFill="accent3" w:themeFillTint="33"/>
        <w:rPr>
          <w:rFonts w:eastAsia="Calibri"/>
          <w:b/>
        </w:rPr>
      </w:pPr>
      <w:r w:rsidRPr="00E700B2">
        <w:rPr>
          <w:rFonts w:eastAsia="Calibri"/>
          <w:b/>
        </w:rPr>
        <w:t>Questions:</w:t>
      </w:r>
    </w:p>
    <w:p w14:paraId="384C1C64" w14:textId="77777777" w:rsidR="004A78F1" w:rsidRPr="00712A69" w:rsidRDefault="004A78F1" w:rsidP="00366E4F">
      <w:pPr>
        <w:widowControl/>
        <w:pBdr>
          <w:top w:val="single" w:sz="4" w:space="1" w:color="auto"/>
          <w:left w:val="single" w:sz="4" w:space="4" w:color="auto"/>
          <w:bottom w:val="single" w:sz="4" w:space="1" w:color="auto"/>
          <w:right w:val="single" w:sz="4" w:space="4" w:color="auto"/>
        </w:pBdr>
        <w:shd w:val="clear" w:color="auto" w:fill="EAF1DD" w:themeFill="accent3" w:themeFillTint="33"/>
        <w:rPr>
          <w:rFonts w:eastAsia="Calibri"/>
        </w:rPr>
      </w:pPr>
    </w:p>
    <w:p w14:paraId="2E7C94B5" w14:textId="4594114E" w:rsidR="00DE523B" w:rsidRPr="00712A69" w:rsidRDefault="00DE523B" w:rsidP="00366E4F">
      <w:pPr>
        <w:widowControl/>
        <w:pBdr>
          <w:top w:val="single" w:sz="4" w:space="1" w:color="auto"/>
          <w:left w:val="single" w:sz="4" w:space="4" w:color="auto"/>
          <w:bottom w:val="single" w:sz="4" w:space="1" w:color="auto"/>
          <w:right w:val="single" w:sz="4" w:space="4" w:color="auto"/>
        </w:pBdr>
        <w:shd w:val="clear" w:color="auto" w:fill="EAF1DD" w:themeFill="accent3" w:themeFillTint="33"/>
        <w:rPr>
          <w:rFonts w:eastAsia="Calibri"/>
        </w:rPr>
      </w:pPr>
      <w:r w:rsidRPr="00712A69">
        <w:rPr>
          <w:rFonts w:eastAsia="Calibri"/>
        </w:rPr>
        <w:t xml:space="preserve">In order to </w:t>
      </w:r>
      <w:r w:rsidR="00C70D6C">
        <w:rPr>
          <w:rFonts w:eastAsia="Calibri"/>
        </w:rPr>
        <w:t xml:space="preserve">help prepare </w:t>
      </w:r>
      <w:r w:rsidRPr="00712A69">
        <w:rPr>
          <w:rFonts w:eastAsia="Calibri"/>
        </w:rPr>
        <w:t xml:space="preserve">a future </w:t>
      </w:r>
      <w:r w:rsidR="001E3220" w:rsidRPr="00712A69">
        <w:rPr>
          <w:rFonts w:eastAsia="Calibri"/>
        </w:rPr>
        <w:t xml:space="preserve">regulatory impact statement </w:t>
      </w:r>
      <w:r w:rsidR="001E3220">
        <w:rPr>
          <w:rFonts w:eastAsia="Calibri"/>
        </w:rPr>
        <w:t>(</w:t>
      </w:r>
      <w:r w:rsidRPr="00712A69">
        <w:rPr>
          <w:rFonts w:eastAsia="Calibri"/>
        </w:rPr>
        <w:t>RIS</w:t>
      </w:r>
      <w:r w:rsidR="001E3220">
        <w:rPr>
          <w:rFonts w:eastAsia="Calibri"/>
        </w:rPr>
        <w:t>) (if required)</w:t>
      </w:r>
      <w:r w:rsidRPr="00712A69">
        <w:rPr>
          <w:rFonts w:eastAsia="Calibri"/>
        </w:rPr>
        <w:t xml:space="preserve">, please consider the following general questions: </w:t>
      </w:r>
    </w:p>
    <w:p w14:paraId="7C61B918" w14:textId="77777777" w:rsidR="00DE523B" w:rsidRPr="00712A69" w:rsidRDefault="00DE523B" w:rsidP="00366E4F">
      <w:pPr>
        <w:widowControl/>
        <w:pBdr>
          <w:top w:val="single" w:sz="4" w:space="1" w:color="auto"/>
          <w:left w:val="single" w:sz="4" w:space="4" w:color="auto"/>
          <w:bottom w:val="single" w:sz="4" w:space="1" w:color="auto"/>
          <w:right w:val="single" w:sz="4" w:space="4" w:color="auto"/>
        </w:pBdr>
        <w:shd w:val="clear" w:color="auto" w:fill="EAF1DD" w:themeFill="accent3" w:themeFillTint="33"/>
        <w:rPr>
          <w:rFonts w:eastAsia="Calibri"/>
        </w:rPr>
      </w:pPr>
    </w:p>
    <w:p w14:paraId="4C06D809" w14:textId="30C83E97" w:rsidR="00DE523B" w:rsidRPr="00712A69" w:rsidRDefault="00E229FE" w:rsidP="004A78F1">
      <w:pPr>
        <w:widowControl/>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eastAsia="Calibri"/>
        </w:rPr>
      </w:pPr>
      <w:r>
        <w:rPr>
          <w:rFonts w:eastAsia="Calibri"/>
        </w:rPr>
        <w:t>Q18</w:t>
      </w:r>
      <w:r w:rsidR="00D927E0">
        <w:rPr>
          <w:rFonts w:eastAsia="Calibri"/>
        </w:rPr>
        <w:tab/>
      </w:r>
      <w:r w:rsidR="00DE523B" w:rsidRPr="00712A69">
        <w:rPr>
          <w:rFonts w:eastAsia="Calibri"/>
        </w:rPr>
        <w:t xml:space="preserve">How will the options </w:t>
      </w:r>
      <w:r w:rsidR="00727478">
        <w:rPr>
          <w:rFonts w:eastAsia="Calibri"/>
        </w:rPr>
        <w:t>listed</w:t>
      </w:r>
      <w:r w:rsidR="00727478" w:rsidRPr="00712A69">
        <w:rPr>
          <w:rFonts w:eastAsia="Calibri"/>
        </w:rPr>
        <w:t xml:space="preserve"> </w:t>
      </w:r>
      <w:r w:rsidR="00DE523B" w:rsidRPr="00712A69">
        <w:rPr>
          <w:rFonts w:eastAsia="Calibri"/>
        </w:rPr>
        <w:t>affect you; such as the choices available to your business and current process practices, consumption choices or regulatory activities?</w:t>
      </w:r>
    </w:p>
    <w:p w14:paraId="51B2288F" w14:textId="77777777" w:rsidR="00366E4F" w:rsidRDefault="00366E4F" w:rsidP="004A78F1">
      <w:pPr>
        <w:widowControl/>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eastAsia="Calibri"/>
        </w:rPr>
      </w:pPr>
    </w:p>
    <w:p w14:paraId="73694E68" w14:textId="4490C276" w:rsidR="00DE523B" w:rsidRPr="00712A69" w:rsidRDefault="00B17729" w:rsidP="004A78F1">
      <w:pPr>
        <w:widowControl/>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eastAsia="Calibri"/>
        </w:rPr>
      </w:pPr>
      <w:r>
        <w:rPr>
          <w:rFonts w:eastAsia="Calibri"/>
        </w:rPr>
        <w:t xml:space="preserve">Q </w:t>
      </w:r>
      <w:r w:rsidR="00E229FE">
        <w:rPr>
          <w:rFonts w:eastAsia="Calibri"/>
        </w:rPr>
        <w:t>19</w:t>
      </w:r>
      <w:r w:rsidR="004A78F1">
        <w:rPr>
          <w:rFonts w:eastAsia="Calibri"/>
        </w:rPr>
        <w:tab/>
      </w:r>
      <w:r w:rsidR="00DE523B" w:rsidRPr="00712A69">
        <w:rPr>
          <w:rFonts w:eastAsia="Calibri"/>
        </w:rPr>
        <w:t xml:space="preserve">Are there other affected parties that have not been identified by FSANZ that you feel should be included? </w:t>
      </w:r>
    </w:p>
    <w:p w14:paraId="29F1EC96" w14:textId="77777777" w:rsidR="00DE523B" w:rsidRPr="00712A69" w:rsidRDefault="00DE523B" w:rsidP="004A78F1">
      <w:pPr>
        <w:widowControl/>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eastAsia="Calibri"/>
        </w:rPr>
      </w:pPr>
    </w:p>
    <w:p w14:paraId="0D153F63" w14:textId="5E0B3E36" w:rsidR="0078404F" w:rsidRPr="00DE523B" w:rsidRDefault="00B17729" w:rsidP="005A7CE7">
      <w:pPr>
        <w:widowControl/>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eastAsia="Calibri" w:cs="Arial"/>
          <w:b/>
          <w:bCs/>
          <w:sz w:val="20"/>
          <w:szCs w:val="20"/>
          <w:lang w:bidi="ar-SA"/>
        </w:rPr>
      </w:pPr>
      <w:r>
        <w:rPr>
          <w:rFonts w:eastAsia="Calibri"/>
        </w:rPr>
        <w:t xml:space="preserve">Q </w:t>
      </w:r>
      <w:r w:rsidR="00E229FE">
        <w:rPr>
          <w:rFonts w:eastAsia="Calibri"/>
        </w:rPr>
        <w:t>20</w:t>
      </w:r>
      <w:r w:rsidR="004A78F1">
        <w:rPr>
          <w:rFonts w:eastAsia="Calibri"/>
        </w:rPr>
        <w:tab/>
      </w:r>
      <w:r w:rsidR="00DE523B" w:rsidRPr="00712A69">
        <w:rPr>
          <w:rFonts w:eastAsia="Calibri"/>
        </w:rPr>
        <w:t xml:space="preserve">Are there specific costs or benefits </w:t>
      </w:r>
      <w:r w:rsidR="00727478">
        <w:rPr>
          <w:rFonts w:eastAsia="Calibri"/>
        </w:rPr>
        <w:t xml:space="preserve">to consumers, industry and/or government </w:t>
      </w:r>
      <w:r w:rsidR="00DE523B" w:rsidRPr="00712A69">
        <w:rPr>
          <w:rFonts w:eastAsia="Calibri"/>
        </w:rPr>
        <w:t xml:space="preserve">that you feel should be considered in a future </w:t>
      </w:r>
      <w:r w:rsidR="009C2440">
        <w:rPr>
          <w:rFonts w:eastAsia="Calibri"/>
        </w:rPr>
        <w:t>Regulation Impact Statement</w:t>
      </w:r>
      <w:r w:rsidR="00DE523B" w:rsidRPr="00712A69">
        <w:rPr>
          <w:rFonts w:eastAsia="Calibri"/>
        </w:rPr>
        <w:t>?</w:t>
      </w:r>
      <w:r w:rsidR="004A78F1">
        <w:rPr>
          <w:rFonts w:eastAsia="Calibri"/>
        </w:rPr>
        <w:t xml:space="preserve"> </w:t>
      </w:r>
      <w:r w:rsidR="00DE523B" w:rsidRPr="00712A69">
        <w:rPr>
          <w:rFonts w:eastAsia="Calibri"/>
        </w:rPr>
        <w:t xml:space="preserve">If you have any data or information to support your views on these questions, FSANZ would welcome the opportunity to consider it. </w:t>
      </w:r>
    </w:p>
    <w:p w14:paraId="4F560836" w14:textId="4AB87A64" w:rsidR="00E520FE" w:rsidRPr="00932F14" w:rsidRDefault="00E520FE" w:rsidP="00E520FE">
      <w:pPr>
        <w:pStyle w:val="Heading2"/>
      </w:pPr>
      <w:bookmarkStart w:id="56" w:name="_Toc300933435"/>
      <w:bookmarkStart w:id="57" w:name="_Toc452645338"/>
      <w:r>
        <w:t>2.</w:t>
      </w:r>
      <w:r w:rsidR="00CB36C3">
        <w:t>4</w:t>
      </w:r>
      <w:r>
        <w:tab/>
        <w:t>Risk communication</w:t>
      </w:r>
      <w:bookmarkEnd w:id="56"/>
      <w:bookmarkEnd w:id="57"/>
      <w:r>
        <w:t xml:space="preserve"> </w:t>
      </w:r>
    </w:p>
    <w:p w14:paraId="4AE830A0" w14:textId="77777777" w:rsidR="008D0D88" w:rsidRPr="008D0D88" w:rsidRDefault="008D0D88" w:rsidP="00811C0B">
      <w:bookmarkStart w:id="58" w:name="_Toc300933437"/>
      <w:bookmarkStart w:id="59" w:name="_Toc286391012"/>
      <w:r w:rsidRPr="008D0D88">
        <w:t xml:space="preserve">Consultation is a key part of FSANZ’s standards development process. FSANZ has prepared a communication strategy for this Proposal, which includes targeted communication with key stakeholders and preparing information for the broader community. </w:t>
      </w:r>
    </w:p>
    <w:p w14:paraId="6F3146F4" w14:textId="77777777" w:rsidR="008D0D88" w:rsidRPr="008D0D88" w:rsidRDefault="008D0D88" w:rsidP="00811C0B"/>
    <w:p w14:paraId="489E4B62" w14:textId="77777777" w:rsidR="008D0D88" w:rsidRDefault="008D0D88" w:rsidP="008D0D88">
      <w:pPr>
        <w:widowControl/>
        <w:autoSpaceDE w:val="0"/>
        <w:autoSpaceDN w:val="0"/>
        <w:adjustRightInd w:val="0"/>
        <w:rPr>
          <w:rFonts w:cs="Arial"/>
          <w:color w:val="000000"/>
          <w:szCs w:val="22"/>
          <w:lang w:eastAsia="en-GB" w:bidi="ar-SA"/>
        </w:rPr>
      </w:pPr>
      <w:r w:rsidRPr="008D0D88">
        <w:rPr>
          <w:rFonts w:cs="Arial"/>
          <w:color w:val="000000"/>
          <w:szCs w:val="22"/>
          <w:lang w:eastAsia="en-GB" w:bidi="ar-SA"/>
        </w:rPr>
        <w:t xml:space="preserve">All calls for submissions are notified via the FSANZ Notification Circular, media release and through FSANZ’s social media tools and Food Standards News. Subscribers and interested parties are notified about the availability of reports for public comment. </w:t>
      </w:r>
    </w:p>
    <w:p w14:paraId="23E50993" w14:textId="77777777" w:rsidR="008E54EE" w:rsidRPr="008D0D88" w:rsidRDefault="008E54EE" w:rsidP="008D0D88">
      <w:pPr>
        <w:widowControl/>
        <w:autoSpaceDE w:val="0"/>
        <w:autoSpaceDN w:val="0"/>
        <w:adjustRightInd w:val="0"/>
        <w:rPr>
          <w:rFonts w:cs="Arial"/>
          <w:color w:val="000000"/>
          <w:szCs w:val="22"/>
          <w:lang w:eastAsia="en-GB" w:bidi="ar-SA"/>
        </w:rPr>
      </w:pPr>
    </w:p>
    <w:p w14:paraId="2A587599" w14:textId="77777777" w:rsidR="008E54EE" w:rsidRDefault="008D0D88" w:rsidP="000E3FBC">
      <w:pPr>
        <w:rPr>
          <w:lang w:eastAsia="en-GB"/>
        </w:rPr>
      </w:pPr>
      <w:r w:rsidRPr="008D0D88">
        <w:rPr>
          <w:lang w:eastAsia="en-GB"/>
        </w:rPr>
        <w:t xml:space="preserve">FSANZ acknowledges the time taken by individuals and organisations to make submissions on this Proposal. The process by which FSANZ considers standard matters is open, accountable, consultative and transparent. </w:t>
      </w:r>
    </w:p>
    <w:p w14:paraId="5B6EDAC7" w14:textId="77777777" w:rsidR="008E54EE" w:rsidRDefault="008E54EE" w:rsidP="000E3FBC">
      <w:pPr>
        <w:rPr>
          <w:lang w:eastAsia="en-GB"/>
        </w:rPr>
      </w:pPr>
    </w:p>
    <w:p w14:paraId="3E8F1FB7" w14:textId="1EA44A4C" w:rsidR="008D0D88" w:rsidRPr="00D927E0" w:rsidRDefault="008D0D88" w:rsidP="000E3FBC">
      <w:r w:rsidRPr="008D0D88">
        <w:rPr>
          <w:lang w:eastAsia="en-GB"/>
        </w:rPr>
        <w:t>Public submissions are called to obtain the views of interested parties on the draft variation to the Code. FSANZ places all related Proposal documents and submissions on the FSANZ website. All public comments received are reviewed and considered by the FSANZ Board in making its final decision.</w:t>
      </w:r>
    </w:p>
    <w:p w14:paraId="725D06B1" w14:textId="3A2F9BFF" w:rsidR="006A49EA" w:rsidRDefault="006A49EA" w:rsidP="006A49EA">
      <w:pPr>
        <w:pStyle w:val="Heading3"/>
      </w:pPr>
      <w:bookmarkStart w:id="60" w:name="_Toc452645339"/>
      <w:bookmarkEnd w:id="58"/>
      <w:r>
        <w:t>2.</w:t>
      </w:r>
      <w:r w:rsidR="00CB36C3">
        <w:t>4</w:t>
      </w:r>
      <w:r>
        <w:t>.</w:t>
      </w:r>
      <w:r w:rsidR="00CB36C3">
        <w:t>1</w:t>
      </w:r>
      <w:r>
        <w:tab/>
        <w:t>Advisory groups</w:t>
      </w:r>
      <w:bookmarkEnd w:id="60"/>
    </w:p>
    <w:p w14:paraId="7FD224C7" w14:textId="3E0ABAD7" w:rsidR="006A49EA" w:rsidRDefault="006A49EA" w:rsidP="006A49EA">
      <w:pPr>
        <w:rPr>
          <w:rFonts w:eastAsia="Calibri"/>
        </w:rPr>
      </w:pPr>
      <w:r>
        <w:rPr>
          <w:rFonts w:eastAsia="Calibri"/>
        </w:rPr>
        <w:t xml:space="preserve">At the outset of the packaging project work, the FSANZ </w:t>
      </w:r>
      <w:r w:rsidRPr="00E24E2F">
        <w:rPr>
          <w:rFonts w:eastAsia="Calibri"/>
        </w:rPr>
        <w:t xml:space="preserve">Industry Advisory Group (IAG) </w:t>
      </w:r>
      <w:r>
        <w:rPr>
          <w:rFonts w:eastAsia="Calibri"/>
        </w:rPr>
        <w:t>(</w:t>
      </w:r>
      <w:r w:rsidRPr="00E24E2F">
        <w:rPr>
          <w:rFonts w:eastAsia="Calibri"/>
        </w:rPr>
        <w:t xml:space="preserve">comprising </w:t>
      </w:r>
      <w:r>
        <w:rPr>
          <w:rFonts w:eastAsia="Calibri"/>
        </w:rPr>
        <w:t xml:space="preserve">Trans-Tasman </w:t>
      </w:r>
      <w:r w:rsidRPr="00E24E2F">
        <w:rPr>
          <w:rFonts w:eastAsia="Calibri"/>
        </w:rPr>
        <w:t>peak bodies, packaging industry members and large manufacturers/brand owners</w:t>
      </w:r>
      <w:r>
        <w:rPr>
          <w:rFonts w:eastAsia="Calibri"/>
        </w:rPr>
        <w:t xml:space="preserve">) provided valuable insight and information on the packaging supply chain. </w:t>
      </w:r>
    </w:p>
    <w:p w14:paraId="3BD9DEEE" w14:textId="77777777" w:rsidR="006A49EA" w:rsidRDefault="006A49EA" w:rsidP="006A49EA">
      <w:pPr>
        <w:rPr>
          <w:rFonts w:eastAsia="Calibri"/>
        </w:rPr>
      </w:pPr>
    </w:p>
    <w:p w14:paraId="53F610A7" w14:textId="77777777" w:rsidR="00D927E0" w:rsidRDefault="00D927E0" w:rsidP="006A49EA">
      <w:pPr>
        <w:rPr>
          <w:lang w:val="en-AU" w:eastAsia="en-AU"/>
        </w:rPr>
      </w:pPr>
      <w:r>
        <w:rPr>
          <w:lang w:val="en-AU" w:eastAsia="en-AU"/>
        </w:rPr>
        <w:br w:type="page"/>
      </w:r>
    </w:p>
    <w:p w14:paraId="304A14DF" w14:textId="1D795D1E" w:rsidR="006A49EA" w:rsidRPr="00E24E2F" w:rsidRDefault="006A49EA" w:rsidP="006A49EA">
      <w:pPr>
        <w:rPr>
          <w:rFonts w:eastAsiaTheme="minorHAnsi"/>
          <w:color w:val="000000"/>
          <w:szCs w:val="22"/>
          <w:lang w:val="en-AU" w:eastAsia="en-AU"/>
        </w:rPr>
      </w:pPr>
      <w:r w:rsidRPr="00E24E2F">
        <w:rPr>
          <w:lang w:val="en-AU" w:eastAsia="en-AU"/>
        </w:rPr>
        <w:lastRenderedPageBreak/>
        <w:t>From consultations</w:t>
      </w:r>
      <w:r>
        <w:rPr>
          <w:lang w:val="en-AU" w:eastAsia="en-AU"/>
        </w:rPr>
        <w:t xml:space="preserve"> with the IAG and other packaging industry members</w:t>
      </w:r>
      <w:r w:rsidRPr="00E24E2F">
        <w:rPr>
          <w:lang w:val="en-AU" w:eastAsia="en-AU"/>
        </w:rPr>
        <w:t xml:space="preserve">, FSANZ understands that some parts of industry (i.e. larger packaging manufacturers and food businesses) work in a tightly controlled environment generally seeking to comply with legislative requirements in other countries and voluntary </w:t>
      </w:r>
      <w:r w:rsidR="00C70D6C">
        <w:rPr>
          <w:lang w:val="en-AU" w:eastAsia="en-AU"/>
        </w:rPr>
        <w:t>c</w:t>
      </w:r>
      <w:r w:rsidRPr="00E24E2F">
        <w:rPr>
          <w:lang w:val="en-AU" w:eastAsia="en-AU"/>
        </w:rPr>
        <w:t xml:space="preserve">odes of </w:t>
      </w:r>
      <w:r w:rsidR="00DD6DFE">
        <w:rPr>
          <w:lang w:val="en-AU" w:eastAsia="en-AU"/>
        </w:rPr>
        <w:t>p</w:t>
      </w:r>
      <w:r w:rsidR="00DD6DFE" w:rsidRPr="00E24E2F">
        <w:rPr>
          <w:lang w:val="en-AU" w:eastAsia="en-AU"/>
        </w:rPr>
        <w:t>ractice</w:t>
      </w:r>
      <w:r w:rsidRPr="00E24E2F">
        <w:rPr>
          <w:lang w:val="en-AU" w:eastAsia="en-AU"/>
        </w:rPr>
        <w:t xml:space="preserve"> and guidelines. Some industry representatives have expressed concern that the current </w:t>
      </w:r>
      <w:r>
        <w:rPr>
          <w:lang w:val="en-AU" w:eastAsia="en-AU"/>
        </w:rPr>
        <w:t xml:space="preserve">Food Standards </w:t>
      </w:r>
      <w:r w:rsidRPr="00E24E2F">
        <w:rPr>
          <w:lang w:val="en-AU" w:eastAsia="en-AU"/>
        </w:rPr>
        <w:t xml:space="preserve">Code requirements do not help industry to mitigate risks from the increased demand for use of </w:t>
      </w:r>
      <w:r w:rsidRPr="00E24E2F">
        <w:t>recycled materials and the potential for chemical migration from unknown complex matrices making up these materials.</w:t>
      </w:r>
    </w:p>
    <w:p w14:paraId="250F82A2" w14:textId="77777777" w:rsidR="006A49EA" w:rsidRPr="00E24E2F" w:rsidRDefault="006A49EA" w:rsidP="006A49EA">
      <w:pPr>
        <w:rPr>
          <w:rFonts w:eastAsia="Calibri"/>
        </w:rPr>
      </w:pPr>
    </w:p>
    <w:p w14:paraId="3DB0EF0C" w14:textId="49626662" w:rsidR="006F18EC" w:rsidRPr="006F18EC" w:rsidRDefault="006A49EA" w:rsidP="006F18EC">
      <w:pPr>
        <w:rPr>
          <w:rFonts w:eastAsiaTheme="minorHAnsi"/>
        </w:rPr>
      </w:pPr>
      <w:r>
        <w:rPr>
          <w:rFonts w:eastAsiaTheme="minorHAnsi"/>
        </w:rPr>
        <w:t xml:space="preserve">A broader advisory group, the Packaging Advisory Group (PAG) was subsequently established to </w:t>
      </w:r>
      <w:proofErr w:type="gramStart"/>
      <w:r>
        <w:rPr>
          <w:rFonts w:eastAsiaTheme="minorHAnsi"/>
        </w:rPr>
        <w:t>advise</w:t>
      </w:r>
      <w:proofErr w:type="gramEnd"/>
      <w:r>
        <w:rPr>
          <w:rFonts w:eastAsiaTheme="minorHAnsi"/>
        </w:rPr>
        <w:t xml:space="preserve"> on Proposal P1034. The </w:t>
      </w:r>
      <w:r w:rsidRPr="00F702D2">
        <w:rPr>
          <w:rFonts w:eastAsiaTheme="minorHAnsi"/>
        </w:rPr>
        <w:t xml:space="preserve">PAG composition is </w:t>
      </w:r>
      <w:r>
        <w:rPr>
          <w:rFonts w:eastAsiaTheme="minorHAnsi"/>
        </w:rPr>
        <w:t>diverse</w:t>
      </w:r>
      <w:r w:rsidRPr="00F702D2">
        <w:rPr>
          <w:rFonts w:eastAsiaTheme="minorHAnsi"/>
        </w:rPr>
        <w:t xml:space="preserve"> with good </w:t>
      </w:r>
      <w:r w:rsidR="00D927E0">
        <w:rPr>
          <w:rFonts w:eastAsiaTheme="minorHAnsi"/>
        </w:rPr>
        <w:t>T</w:t>
      </w:r>
      <w:r w:rsidRPr="00F702D2">
        <w:rPr>
          <w:rFonts w:eastAsiaTheme="minorHAnsi"/>
        </w:rPr>
        <w:t>rans-Tasman representation of peak bodies, industry members (including SME</w:t>
      </w:r>
      <w:r>
        <w:rPr>
          <w:rFonts w:eastAsiaTheme="minorHAnsi"/>
        </w:rPr>
        <w:t xml:space="preserve"> representation</w:t>
      </w:r>
      <w:r w:rsidRPr="00F702D2">
        <w:rPr>
          <w:rFonts w:eastAsiaTheme="minorHAnsi"/>
        </w:rPr>
        <w:t>), jurisdictions and a consumer representat</w:t>
      </w:r>
      <w:r>
        <w:rPr>
          <w:rFonts w:eastAsiaTheme="minorHAnsi"/>
        </w:rPr>
        <w:t>ive</w:t>
      </w:r>
      <w:r w:rsidRPr="004909F6">
        <w:rPr>
          <w:rFonts w:eastAsiaTheme="minorHAnsi"/>
        </w:rPr>
        <w:t>.</w:t>
      </w:r>
      <w:r>
        <w:rPr>
          <w:rFonts w:eastAsiaTheme="minorHAnsi"/>
        </w:rPr>
        <w:t xml:space="preserve"> Four meetings of the PAG have been held since its inception in 2014. </w:t>
      </w:r>
      <w:r w:rsidR="00D81B10">
        <w:rPr>
          <w:rFonts w:eastAsiaTheme="minorHAnsi"/>
        </w:rPr>
        <w:t>The a</w:t>
      </w:r>
      <w:r w:rsidR="001A3D80">
        <w:rPr>
          <w:rFonts w:eastAsiaTheme="minorHAnsi"/>
        </w:rPr>
        <w:t>ssessment, together with the range of possible risk management</w:t>
      </w:r>
      <w:r w:rsidR="001A3D80" w:rsidRPr="001A3D80">
        <w:rPr>
          <w:rFonts w:eastAsiaTheme="minorHAnsi"/>
        </w:rPr>
        <w:t xml:space="preserve"> </w:t>
      </w:r>
      <w:r w:rsidR="001A3D80">
        <w:rPr>
          <w:rFonts w:eastAsiaTheme="minorHAnsi"/>
        </w:rPr>
        <w:t>options outlined above,</w:t>
      </w:r>
      <w:r w:rsidR="001A3D80" w:rsidRPr="001A3D80">
        <w:rPr>
          <w:rFonts w:eastAsiaTheme="minorHAnsi"/>
        </w:rPr>
        <w:t xml:space="preserve"> </w:t>
      </w:r>
      <w:r w:rsidR="001A3D80">
        <w:rPr>
          <w:rFonts w:eastAsiaTheme="minorHAnsi"/>
        </w:rPr>
        <w:t>w</w:t>
      </w:r>
      <w:r w:rsidR="00D81B10">
        <w:rPr>
          <w:rFonts w:eastAsiaTheme="minorHAnsi"/>
        </w:rPr>
        <w:t>as</w:t>
      </w:r>
      <w:r w:rsidR="001A3D80">
        <w:rPr>
          <w:rFonts w:eastAsiaTheme="minorHAnsi"/>
        </w:rPr>
        <w:t xml:space="preserve"> presented to the PAG in early 2016. Members </w:t>
      </w:r>
      <w:r w:rsidR="00D81B10">
        <w:rPr>
          <w:rFonts w:eastAsiaTheme="minorHAnsi"/>
        </w:rPr>
        <w:t xml:space="preserve">concurred with the outcomes of the assessment, </w:t>
      </w:r>
      <w:r w:rsidR="006F18EC">
        <w:rPr>
          <w:rFonts w:eastAsiaTheme="minorHAnsi"/>
        </w:rPr>
        <w:t>not</w:t>
      </w:r>
      <w:r w:rsidR="00D81B10">
        <w:rPr>
          <w:rFonts w:eastAsiaTheme="minorHAnsi"/>
        </w:rPr>
        <w:t>ing</w:t>
      </w:r>
      <w:r w:rsidR="006F18EC">
        <w:rPr>
          <w:rFonts w:eastAsiaTheme="minorHAnsi"/>
        </w:rPr>
        <w:t xml:space="preserve"> that</w:t>
      </w:r>
      <w:r w:rsidR="001A3D80">
        <w:rPr>
          <w:rFonts w:eastAsiaTheme="minorHAnsi"/>
        </w:rPr>
        <w:t xml:space="preserve"> </w:t>
      </w:r>
      <w:r w:rsidR="006F18EC" w:rsidRPr="006F18EC">
        <w:rPr>
          <w:rFonts w:eastAsiaTheme="minorHAnsi"/>
        </w:rPr>
        <w:t>not all packaging materials pose an equal risk</w:t>
      </w:r>
      <w:r w:rsidR="00D81B10">
        <w:rPr>
          <w:rFonts w:eastAsiaTheme="minorHAnsi"/>
        </w:rPr>
        <w:t xml:space="preserve"> and</w:t>
      </w:r>
      <w:r w:rsidR="006F18EC" w:rsidRPr="006F18EC">
        <w:rPr>
          <w:rFonts w:eastAsiaTheme="minorHAnsi"/>
        </w:rPr>
        <w:t xml:space="preserve"> </w:t>
      </w:r>
      <w:r w:rsidR="00D921AC">
        <w:rPr>
          <w:rFonts w:eastAsiaTheme="minorHAnsi"/>
        </w:rPr>
        <w:t xml:space="preserve">that </w:t>
      </w:r>
      <w:r w:rsidR="006F18EC" w:rsidRPr="006F18EC">
        <w:rPr>
          <w:rFonts w:eastAsiaTheme="minorHAnsi"/>
        </w:rPr>
        <w:t xml:space="preserve">the safety of recycled plastic is of </w:t>
      </w:r>
      <w:r w:rsidR="00D921AC">
        <w:rPr>
          <w:rFonts w:eastAsiaTheme="minorHAnsi"/>
        </w:rPr>
        <w:t xml:space="preserve">particular </w:t>
      </w:r>
      <w:r w:rsidR="006F18EC">
        <w:rPr>
          <w:rFonts w:eastAsiaTheme="minorHAnsi"/>
        </w:rPr>
        <w:t>concern</w:t>
      </w:r>
      <w:r w:rsidR="006F18EC" w:rsidRPr="006F18EC">
        <w:rPr>
          <w:rFonts w:eastAsiaTheme="minorHAnsi"/>
        </w:rPr>
        <w:t xml:space="preserve"> </w:t>
      </w:r>
      <w:r w:rsidR="006F18EC">
        <w:rPr>
          <w:rFonts w:eastAsiaTheme="minorHAnsi"/>
        </w:rPr>
        <w:t>and that this needs to be addressed in any proposed control measures</w:t>
      </w:r>
      <w:r w:rsidR="00462A77">
        <w:rPr>
          <w:rFonts w:eastAsiaTheme="minorHAnsi"/>
        </w:rPr>
        <w:t xml:space="preserve">. </w:t>
      </w:r>
      <w:r w:rsidR="00A03333">
        <w:rPr>
          <w:rFonts w:eastAsiaTheme="minorHAnsi"/>
        </w:rPr>
        <w:t xml:space="preserve">In the </w:t>
      </w:r>
      <w:r w:rsidR="006F18EC">
        <w:rPr>
          <w:rFonts w:eastAsiaTheme="minorHAnsi"/>
        </w:rPr>
        <w:t>main</w:t>
      </w:r>
      <w:r w:rsidR="00A03333">
        <w:rPr>
          <w:rFonts w:eastAsiaTheme="minorHAnsi"/>
        </w:rPr>
        <w:t xml:space="preserve">, PAG members supported </w:t>
      </w:r>
      <w:r w:rsidR="006F18EC">
        <w:rPr>
          <w:rFonts w:eastAsiaTheme="minorHAnsi"/>
        </w:rPr>
        <w:t>FSANZ’s risk management approach, particularly for the</w:t>
      </w:r>
      <w:r w:rsidR="006F18EC" w:rsidRPr="006F18EC">
        <w:rPr>
          <w:rFonts w:eastAsiaTheme="minorHAnsi"/>
        </w:rPr>
        <w:t xml:space="preserve"> develop</w:t>
      </w:r>
      <w:r w:rsidR="006F18EC">
        <w:rPr>
          <w:rFonts w:eastAsiaTheme="minorHAnsi"/>
        </w:rPr>
        <w:t>ment of</w:t>
      </w:r>
      <w:r w:rsidR="006F18EC" w:rsidRPr="006F18EC">
        <w:rPr>
          <w:rFonts w:eastAsiaTheme="minorHAnsi"/>
        </w:rPr>
        <w:t xml:space="preserve"> guidance for packaging suppliers, </w:t>
      </w:r>
      <w:r w:rsidR="00A03333">
        <w:rPr>
          <w:rFonts w:eastAsiaTheme="minorHAnsi"/>
        </w:rPr>
        <w:t>e</w:t>
      </w:r>
      <w:r w:rsidR="006F18EC">
        <w:rPr>
          <w:rFonts w:eastAsiaTheme="minorHAnsi"/>
        </w:rPr>
        <w:t xml:space="preserve">nvironmental </w:t>
      </w:r>
      <w:r w:rsidR="00A03333">
        <w:rPr>
          <w:rFonts w:eastAsiaTheme="minorHAnsi"/>
        </w:rPr>
        <w:t>h</w:t>
      </w:r>
      <w:r w:rsidR="006F18EC">
        <w:rPr>
          <w:rFonts w:eastAsiaTheme="minorHAnsi"/>
        </w:rPr>
        <w:t xml:space="preserve">ealth </w:t>
      </w:r>
      <w:r w:rsidR="00A03333">
        <w:rPr>
          <w:rFonts w:eastAsiaTheme="minorHAnsi"/>
        </w:rPr>
        <w:t>o</w:t>
      </w:r>
      <w:r w:rsidR="006F18EC">
        <w:rPr>
          <w:rFonts w:eastAsiaTheme="minorHAnsi"/>
        </w:rPr>
        <w:t>fficers</w:t>
      </w:r>
      <w:r w:rsidR="006F18EC" w:rsidRPr="006F18EC">
        <w:rPr>
          <w:rFonts w:eastAsiaTheme="minorHAnsi"/>
        </w:rPr>
        <w:t xml:space="preserve"> and food businesses.</w:t>
      </w:r>
    </w:p>
    <w:p w14:paraId="0DD72B13" w14:textId="36E59B21" w:rsidR="00DD6DFE" w:rsidRDefault="00DD6DFE" w:rsidP="007D075E">
      <w:pPr>
        <w:spacing w:after="120"/>
        <w:rPr>
          <w:rFonts w:eastAsiaTheme="minorHAnsi"/>
        </w:rPr>
      </w:pPr>
    </w:p>
    <w:p w14:paraId="1FB93856" w14:textId="044EDB3D" w:rsidR="007D075E" w:rsidRDefault="00A03333" w:rsidP="007D075E">
      <w:pPr>
        <w:spacing w:after="120"/>
      </w:pPr>
      <w:r>
        <w:rPr>
          <w:lang w:eastAsia="en-AU" w:bidi="ar-SA"/>
        </w:rPr>
        <w:t>J</w:t>
      </w:r>
      <w:r w:rsidR="007D075E">
        <w:t>urisdictions (</w:t>
      </w:r>
      <w:r w:rsidR="007D075E" w:rsidRPr="0078404F">
        <w:t xml:space="preserve">through </w:t>
      </w:r>
      <w:r w:rsidR="007D075E">
        <w:t xml:space="preserve">ISFR) have also been engaged in this </w:t>
      </w:r>
      <w:r>
        <w:t>work</w:t>
      </w:r>
      <w:r w:rsidR="007D075E">
        <w:t xml:space="preserve">. A packaging workshop was held in December 2015 to provide an update on the </w:t>
      </w:r>
      <w:r>
        <w:t>P</w:t>
      </w:r>
      <w:r w:rsidR="007D075E">
        <w:t xml:space="preserve">roposal’s progress and to seek ISFR’s insight on the </w:t>
      </w:r>
      <w:r w:rsidR="00DA308E">
        <w:t>management</w:t>
      </w:r>
      <w:r w:rsidR="007D075E">
        <w:t xml:space="preserve"> of CMPF.</w:t>
      </w:r>
      <w:r w:rsidR="00D921AC">
        <w:t xml:space="preserve"> There was also support for FSANZ’s </w:t>
      </w:r>
      <w:r w:rsidR="00D921AC">
        <w:rPr>
          <w:rFonts w:eastAsiaTheme="minorHAnsi"/>
        </w:rPr>
        <w:t>risk management approach for CMPF.</w:t>
      </w:r>
    </w:p>
    <w:p w14:paraId="1C324994" w14:textId="4FCDF615" w:rsidR="00E520FE" w:rsidRPr="00022DBC" w:rsidRDefault="00022DBC" w:rsidP="00022DBC">
      <w:pPr>
        <w:pStyle w:val="Heading3"/>
      </w:pPr>
      <w:bookmarkStart w:id="61" w:name="_Toc300761912"/>
      <w:bookmarkStart w:id="62" w:name="_Toc300933439"/>
      <w:bookmarkStart w:id="63" w:name="_Toc452645340"/>
      <w:bookmarkEnd w:id="59"/>
      <w:r w:rsidRPr="00022DBC">
        <w:t>2.</w:t>
      </w:r>
      <w:r w:rsidR="00CB36C3">
        <w:t>4.2</w:t>
      </w:r>
      <w:r w:rsidR="00E520FE" w:rsidRPr="00022DBC">
        <w:tab/>
        <w:t>World Trade Organization (WTO)</w:t>
      </w:r>
      <w:bookmarkEnd w:id="61"/>
      <w:bookmarkEnd w:id="62"/>
      <w:bookmarkEnd w:id="63"/>
    </w:p>
    <w:p w14:paraId="503D65C1"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B9319CA" w14:textId="77777777" w:rsidR="00952D94" w:rsidRDefault="00952D94" w:rsidP="00E520FE">
      <w:pPr>
        <w:tabs>
          <w:tab w:val="left" w:pos="1560"/>
        </w:tabs>
        <w:rPr>
          <w:rFonts w:cs="Arial"/>
        </w:rPr>
      </w:pPr>
    </w:p>
    <w:p w14:paraId="130E9C5C" w14:textId="56921A96" w:rsidR="00882326" w:rsidRDefault="00E520FE" w:rsidP="00E520FE">
      <w:pPr>
        <w:tabs>
          <w:tab w:val="left" w:pos="1560"/>
        </w:tabs>
        <w:rPr>
          <w:rFonts w:cs="Arial"/>
        </w:rPr>
      </w:pPr>
      <w:r w:rsidRPr="00556352">
        <w:rPr>
          <w:rFonts w:cs="Arial"/>
        </w:rPr>
        <w:t xml:space="preserve">This issue will be fully considered at the next stage of the assessment and, if necessary, notification will be made in accordance with Australia’s and New Zealand’s obligations under either the WTO Technical Barriers to Trade (TBT) or </w:t>
      </w:r>
      <w:r w:rsidR="00D04529" w:rsidRPr="00556352">
        <w:rPr>
          <w:rFonts w:cs="Arial"/>
        </w:rPr>
        <w:t xml:space="preserve">Application of </w:t>
      </w:r>
      <w:r w:rsidRPr="00556352">
        <w:rPr>
          <w:rFonts w:cs="Arial"/>
        </w:rPr>
        <w:t>Sanitary and Phytosanitary Measures (SPS) Agreements. This will enable other WTO members to comment on any proposed amendments</w:t>
      </w:r>
      <w:r w:rsidR="00E76ACC">
        <w:rPr>
          <w:rFonts w:cs="Arial"/>
        </w:rPr>
        <w:t xml:space="preserve">. </w:t>
      </w:r>
    </w:p>
    <w:p w14:paraId="6AD3EFF1" w14:textId="4B5317F8" w:rsidR="00E520FE" w:rsidRDefault="00022DBC" w:rsidP="00022DBC">
      <w:pPr>
        <w:pStyle w:val="Heading2"/>
      </w:pPr>
      <w:bookmarkStart w:id="64" w:name="_Toc452645341"/>
      <w:r>
        <w:t>2.</w:t>
      </w:r>
      <w:r w:rsidR="00CB36C3">
        <w:t>5</w:t>
      </w:r>
      <w:r>
        <w:tab/>
        <w:t>FSANZ Act assessment requirements</w:t>
      </w:r>
      <w:bookmarkEnd w:id="64"/>
    </w:p>
    <w:p w14:paraId="5FA8EBCE" w14:textId="7803768F" w:rsidR="00726C2F" w:rsidRPr="00952D94" w:rsidRDefault="00E97356" w:rsidP="00726C2F">
      <w:r>
        <w:t>In</w:t>
      </w:r>
      <w:r w:rsidRPr="00952D94">
        <w:t xml:space="preserve"> </w:t>
      </w:r>
      <w:r w:rsidR="00726C2F" w:rsidRPr="00952D94">
        <w:t xml:space="preserve">assessing this Proposal, FSANZ has had regard to the </w:t>
      </w:r>
      <w:r w:rsidR="00726C2F" w:rsidRPr="00952D94" w:rsidDel="00932F14">
        <w:t xml:space="preserve">following </w:t>
      </w:r>
      <w:r w:rsidR="00726C2F" w:rsidRPr="00952D94">
        <w:t>matters in section 59 of the FSANZ Act:</w:t>
      </w:r>
    </w:p>
    <w:p w14:paraId="6E6B3665" w14:textId="4281F437" w:rsidR="00726C2F" w:rsidRPr="00914030" w:rsidRDefault="00726C2F" w:rsidP="00726C2F">
      <w:pPr>
        <w:pStyle w:val="Heading3"/>
      </w:pPr>
      <w:bookmarkStart w:id="65" w:name="_Toc452645342"/>
      <w:r>
        <w:t>2.</w:t>
      </w:r>
      <w:r w:rsidR="00CB36C3">
        <w:t>5</w:t>
      </w:r>
      <w:r>
        <w:t>.1</w:t>
      </w:r>
      <w:r>
        <w:tab/>
        <w:t xml:space="preserve">Section </w:t>
      </w:r>
      <w:r w:rsidRPr="00952D94">
        <w:rPr>
          <w:color w:val="auto"/>
        </w:rPr>
        <w:t>59</w:t>
      </w:r>
      <w:bookmarkEnd w:id="65"/>
    </w:p>
    <w:p w14:paraId="2212A47F" w14:textId="37B97E73" w:rsidR="00726C2F" w:rsidRDefault="00726C2F" w:rsidP="00726C2F">
      <w:pPr>
        <w:pStyle w:val="Heading4"/>
      </w:pPr>
      <w:r>
        <w:t>2.</w:t>
      </w:r>
      <w:r w:rsidR="00CB36C3">
        <w:t>5</w:t>
      </w:r>
      <w:r>
        <w:t>.1.1</w:t>
      </w:r>
      <w:r>
        <w:tab/>
        <w:t>Cost benefit analysis</w:t>
      </w:r>
    </w:p>
    <w:p w14:paraId="7AC81D9F" w14:textId="71F0B592" w:rsidR="000F4A02" w:rsidRPr="007A6A66" w:rsidRDefault="003A377C" w:rsidP="00806F5B">
      <w:pPr>
        <w:rPr>
          <w:szCs w:val="22"/>
        </w:rPr>
      </w:pPr>
      <w:r>
        <w:t xml:space="preserve">FSANZ </w:t>
      </w:r>
      <w:r w:rsidR="0010220B">
        <w:t>is not yet in a position to undertake an informed</w:t>
      </w:r>
      <w:r>
        <w:t xml:space="preserve"> cost benefit analysis. </w:t>
      </w:r>
      <w:r w:rsidR="00D93F9B">
        <w:t xml:space="preserve">However, </w:t>
      </w:r>
      <w:r w:rsidR="00D051C7">
        <w:rPr>
          <w:szCs w:val="22"/>
        </w:rPr>
        <w:t xml:space="preserve">FSANZ’s risk profile suggests that a </w:t>
      </w:r>
      <w:r w:rsidR="00D051C7" w:rsidRPr="00135D1F">
        <w:rPr>
          <w:szCs w:val="22"/>
        </w:rPr>
        <w:t xml:space="preserve">highly prescriptive </w:t>
      </w:r>
      <w:r w:rsidR="006519BE">
        <w:rPr>
          <w:szCs w:val="22"/>
        </w:rPr>
        <w:t xml:space="preserve">(pre-market) </w:t>
      </w:r>
      <w:r w:rsidR="00D051C7" w:rsidRPr="00135D1F">
        <w:rPr>
          <w:szCs w:val="22"/>
        </w:rPr>
        <w:t>risk management approach similar to that in place in the US, EU and China is not warranted</w:t>
      </w:r>
      <w:r w:rsidR="00533DDC">
        <w:rPr>
          <w:szCs w:val="22"/>
        </w:rPr>
        <w:t xml:space="preserve">. </w:t>
      </w:r>
      <w:r w:rsidR="00806F5B">
        <w:t>A prescriptive approach may add considerable costs into the food packaging market</w:t>
      </w:r>
      <w:r w:rsidR="006357F1">
        <w:t>, especially for small to medium enterprises</w:t>
      </w:r>
      <w:r w:rsidR="00462A77">
        <w:t xml:space="preserve">. </w:t>
      </w:r>
    </w:p>
    <w:p w14:paraId="1BD08A0C" w14:textId="3E15F4BD" w:rsidR="00D927E0" w:rsidRDefault="00D927E0" w:rsidP="00806F5B">
      <w:r>
        <w:br w:type="page"/>
      </w:r>
    </w:p>
    <w:p w14:paraId="0AD95872" w14:textId="58E9CBBD" w:rsidR="00806F5B" w:rsidRDefault="00806F5B" w:rsidP="00806F5B">
      <w:r>
        <w:lastRenderedPageBreak/>
        <w:t xml:space="preserve">The assessment has determined that </w:t>
      </w:r>
      <w:r w:rsidR="007A6A66">
        <w:t xml:space="preserve">for the majority of chemicals, </w:t>
      </w:r>
      <w:r w:rsidR="006357F1">
        <w:t xml:space="preserve">the residual risk is low and </w:t>
      </w:r>
      <w:r>
        <w:t xml:space="preserve">there are sufficient </w:t>
      </w:r>
      <w:r w:rsidR="00533DDC">
        <w:t xml:space="preserve">measures </w:t>
      </w:r>
      <w:r w:rsidR="00B02211">
        <w:t xml:space="preserve">in place – through self-regulation </w:t>
      </w:r>
      <w:r w:rsidR="00533DDC">
        <w:t>(</w:t>
      </w:r>
      <w:r w:rsidR="00B02211">
        <w:t>e.g.</w:t>
      </w:r>
      <w:r w:rsidR="00533DDC">
        <w:t xml:space="preserve"> voluntary adoption by industry of EU/US standards)</w:t>
      </w:r>
      <w:r>
        <w:t xml:space="preserve">, Australian/New Zealand Food Acts, competitive pressure within the packaging industry and the Fair Trading Acts </w:t>
      </w:r>
      <w:r w:rsidR="00B02211">
        <w:t xml:space="preserve">- </w:t>
      </w:r>
      <w:r>
        <w:t>to mitigate most risks from chemical migration from packaging</w:t>
      </w:r>
      <w:r w:rsidR="00462A77">
        <w:t xml:space="preserve">. </w:t>
      </w:r>
      <w:r w:rsidR="00AF398B">
        <w:t>It is considered that t</w:t>
      </w:r>
      <w:r w:rsidR="006357F1">
        <w:t xml:space="preserve">he costs </w:t>
      </w:r>
      <w:r w:rsidR="00B02211">
        <w:t xml:space="preserve">of a prescriptive approach </w:t>
      </w:r>
      <w:r w:rsidR="006357F1">
        <w:t>would outweigh the benefits</w:t>
      </w:r>
      <w:r w:rsidR="00AF398B">
        <w:t>.</w:t>
      </w:r>
      <w:r w:rsidR="000F4A02">
        <w:t xml:space="preserve"> </w:t>
      </w:r>
    </w:p>
    <w:p w14:paraId="7058157C" w14:textId="77777777" w:rsidR="00806F5B" w:rsidRDefault="00806F5B" w:rsidP="00D051C7"/>
    <w:p w14:paraId="2F046D55" w14:textId="77777777" w:rsidR="00B736FA" w:rsidRDefault="00B736FA" w:rsidP="00B736FA">
      <w:r>
        <w:t xml:space="preserve">Therefore, although FSANZ’s assessment based on the information available is that a graduated approach (option 4) appears to have the most merit, all four risk management approaches have been put forward along with questions designed to elicit the costs and benefits of each. </w:t>
      </w:r>
      <w:r w:rsidRPr="00E31AA3">
        <w:t>FSANZ notes, that an information/awareness program (as per option 3a) could be undertaken independent of, or as part of, a graduated approach.</w:t>
      </w:r>
    </w:p>
    <w:p w14:paraId="344113CE" w14:textId="6F9B1C7A" w:rsidR="00726C2F" w:rsidRDefault="00726C2F" w:rsidP="00726C2F">
      <w:pPr>
        <w:pStyle w:val="Heading4"/>
      </w:pPr>
      <w:r>
        <w:t>2.</w:t>
      </w:r>
      <w:r w:rsidR="00CB36C3">
        <w:t>5</w:t>
      </w:r>
      <w:r>
        <w:t>.1.2</w:t>
      </w:r>
      <w:r>
        <w:tab/>
        <w:t>Other measures</w:t>
      </w:r>
    </w:p>
    <w:p w14:paraId="4A9A59BD" w14:textId="750F3F0A" w:rsidR="00D03023" w:rsidRPr="00DA155A" w:rsidRDefault="00D03023" w:rsidP="00DA51F2">
      <w:r>
        <w:t xml:space="preserve">FSANZ has not yet made a decision on the development of a food regulatory measure which would be most cost effective in addressing identified risks from CMPF. FSANZ seeks comments on the </w:t>
      </w:r>
      <w:r w:rsidR="00243BFF">
        <w:t>four</w:t>
      </w:r>
      <w:r>
        <w:t xml:space="preserve"> risk management options to inform its decision on whether to prepare a draft variation</w:t>
      </w:r>
      <w:r w:rsidR="00462A77">
        <w:t xml:space="preserve">. </w:t>
      </w:r>
      <w:r w:rsidR="006519BE">
        <w:t xml:space="preserve">As previously stated, </w:t>
      </w:r>
      <w:r w:rsidR="00E97356">
        <w:t xml:space="preserve">based on the information currently available, </w:t>
      </w:r>
      <w:r w:rsidR="006519BE">
        <w:t xml:space="preserve">FSANZ does not believe that a </w:t>
      </w:r>
      <w:r w:rsidR="0013336E">
        <w:t xml:space="preserve">pre-market </w:t>
      </w:r>
      <w:r w:rsidR="00AF398B">
        <w:t>assessment approach</w:t>
      </w:r>
      <w:r w:rsidR="006519BE">
        <w:t xml:space="preserve"> is need</w:t>
      </w:r>
      <w:r w:rsidR="00E97356">
        <w:t>ed</w:t>
      </w:r>
      <w:r w:rsidR="006519BE">
        <w:t xml:space="preserve"> in Australia or New </w:t>
      </w:r>
      <w:r w:rsidR="00DA51F2">
        <w:t>Zealand</w:t>
      </w:r>
      <w:r w:rsidR="006519BE">
        <w:t xml:space="preserve">. </w:t>
      </w:r>
    </w:p>
    <w:p w14:paraId="37A27412" w14:textId="3E9F858E" w:rsidR="00726C2F" w:rsidRDefault="008B0075" w:rsidP="008B0075">
      <w:pPr>
        <w:pStyle w:val="Heading4"/>
      </w:pPr>
      <w:r>
        <w:t>2.</w:t>
      </w:r>
      <w:r w:rsidR="00CB36C3">
        <w:t>5</w:t>
      </w:r>
      <w:r>
        <w:t>.1.3</w:t>
      </w:r>
      <w:r>
        <w:tab/>
        <w:t>A</w:t>
      </w:r>
      <w:r w:rsidR="00726C2F" w:rsidRPr="00914030">
        <w:t>ny relevant New Zealand standards</w:t>
      </w:r>
    </w:p>
    <w:p w14:paraId="6923B668" w14:textId="77777777" w:rsidR="00CB36C3" w:rsidRDefault="00CF2F29" w:rsidP="008D0D88">
      <w:pPr>
        <w:rPr>
          <w:szCs w:val="22"/>
        </w:rPr>
      </w:pPr>
      <w:r>
        <w:rPr>
          <w:szCs w:val="22"/>
        </w:rPr>
        <w:t>Standards 1.1.1</w:t>
      </w:r>
      <w:r w:rsidR="00DA308E">
        <w:rPr>
          <w:szCs w:val="22"/>
        </w:rPr>
        <w:t>,</w:t>
      </w:r>
      <w:r>
        <w:rPr>
          <w:szCs w:val="22"/>
        </w:rPr>
        <w:t xml:space="preserve"> 1.4.1 </w:t>
      </w:r>
      <w:r w:rsidR="00DA308E">
        <w:rPr>
          <w:szCs w:val="22"/>
        </w:rPr>
        <w:t xml:space="preserve">and 2.6.2 </w:t>
      </w:r>
      <w:r w:rsidR="00CB36C3">
        <w:rPr>
          <w:szCs w:val="22"/>
        </w:rPr>
        <w:t xml:space="preserve">and Schedule 19 </w:t>
      </w:r>
      <w:r w:rsidR="00DA308E">
        <w:rPr>
          <w:szCs w:val="22"/>
        </w:rPr>
        <w:t>are joint standards</w:t>
      </w:r>
      <w:r>
        <w:rPr>
          <w:szCs w:val="22"/>
        </w:rPr>
        <w:t xml:space="preserve">. </w:t>
      </w:r>
    </w:p>
    <w:p w14:paraId="4A57C5FF" w14:textId="77777777" w:rsidR="00CB36C3" w:rsidRDefault="00CB36C3" w:rsidP="008D0D88">
      <w:pPr>
        <w:rPr>
          <w:szCs w:val="22"/>
        </w:rPr>
      </w:pPr>
    </w:p>
    <w:p w14:paraId="62217D1C" w14:textId="3AA88E96" w:rsidR="008D0D88" w:rsidRPr="00BE3818" w:rsidRDefault="00CF2F29" w:rsidP="008D0D88">
      <w:pPr>
        <w:rPr>
          <w:color w:val="00B050"/>
        </w:rPr>
      </w:pPr>
      <w:r>
        <w:rPr>
          <w:szCs w:val="22"/>
        </w:rPr>
        <w:t xml:space="preserve">FSANZ has had regard to the </w:t>
      </w:r>
      <w:r w:rsidRPr="00DA51F2">
        <w:rPr>
          <w:szCs w:val="22"/>
        </w:rPr>
        <w:t>New Zealand</w:t>
      </w:r>
      <w:r w:rsidRPr="00CF2F29">
        <w:rPr>
          <w:i/>
          <w:szCs w:val="22"/>
        </w:rPr>
        <w:t xml:space="preserve"> Food Act 2014</w:t>
      </w:r>
      <w:r w:rsidR="006C5469">
        <w:rPr>
          <w:i/>
          <w:szCs w:val="22"/>
        </w:rPr>
        <w:t>; Animal Products Act</w:t>
      </w:r>
      <w:r w:rsidR="00700625">
        <w:rPr>
          <w:i/>
          <w:szCs w:val="22"/>
        </w:rPr>
        <w:t xml:space="preserve"> 1999; Food Hygiene Regulations 1974 and the Wine Act 2003.</w:t>
      </w:r>
      <w:r>
        <w:rPr>
          <w:i/>
          <w:szCs w:val="22"/>
        </w:rPr>
        <w:t xml:space="preserve"> </w:t>
      </w:r>
      <w:r w:rsidR="00DA308E">
        <w:rPr>
          <w:szCs w:val="22"/>
        </w:rPr>
        <w:t>Details of the management of packaging under the New Zealand Food Act are provided in SD1.</w:t>
      </w:r>
    </w:p>
    <w:p w14:paraId="67AC1711" w14:textId="588BF7CF" w:rsidR="00726C2F" w:rsidRPr="00914030" w:rsidRDefault="00BE3818" w:rsidP="00BE3818">
      <w:pPr>
        <w:pStyle w:val="Heading4"/>
      </w:pPr>
      <w:r>
        <w:t>2.</w:t>
      </w:r>
      <w:r w:rsidR="002C3B32">
        <w:t>4</w:t>
      </w:r>
      <w:r>
        <w:t>.1.4</w:t>
      </w:r>
      <w:r>
        <w:tab/>
      </w:r>
      <w:r w:rsidR="0027513D">
        <w:t>A</w:t>
      </w:r>
      <w:r>
        <w:t>ny other relevant matters</w:t>
      </w:r>
    </w:p>
    <w:p w14:paraId="4FFDC450" w14:textId="27EA6BA4" w:rsidR="00BE3818" w:rsidRDefault="0010220B" w:rsidP="00BE3818">
      <w:pPr>
        <w:rPr>
          <w:lang w:bidi="ar-SA"/>
        </w:rPr>
      </w:pPr>
      <w:r>
        <w:rPr>
          <w:lang w:bidi="ar-SA"/>
        </w:rPr>
        <w:t>Other relevant matters are considered below</w:t>
      </w:r>
      <w:r w:rsidR="00BE3818">
        <w:rPr>
          <w:lang w:bidi="ar-SA"/>
        </w:rPr>
        <w:t>.</w:t>
      </w:r>
    </w:p>
    <w:p w14:paraId="5561026F" w14:textId="0F97C52F" w:rsidR="00022DBC" w:rsidRPr="00477326" w:rsidRDefault="00BE3818" w:rsidP="00477326">
      <w:pPr>
        <w:pStyle w:val="Heading3"/>
      </w:pPr>
      <w:bookmarkStart w:id="66" w:name="_Toc452645343"/>
      <w:bookmarkStart w:id="67" w:name="_Toc300761897"/>
      <w:bookmarkStart w:id="68" w:name="_Toc300933440"/>
      <w:r w:rsidRPr="00477326">
        <w:t>2.</w:t>
      </w:r>
      <w:r w:rsidR="008D254D">
        <w:t>5</w:t>
      </w:r>
      <w:r w:rsidRPr="00477326">
        <w:t>.2</w:t>
      </w:r>
      <w:r w:rsidR="00022DBC" w:rsidRPr="00477326">
        <w:t>.</w:t>
      </w:r>
      <w:r w:rsidR="00022DBC" w:rsidRPr="00477326">
        <w:tab/>
      </w:r>
      <w:r w:rsidRPr="00477326">
        <w:t>Subsection 18(1)</w:t>
      </w:r>
      <w:bookmarkEnd w:id="66"/>
      <w:r w:rsidRPr="00477326">
        <w:t xml:space="preserve"> </w:t>
      </w:r>
      <w:bookmarkEnd w:id="67"/>
      <w:bookmarkEnd w:id="68"/>
    </w:p>
    <w:p w14:paraId="05A74035" w14:textId="5AF662C1" w:rsidR="00022DBC" w:rsidRPr="00914030" w:rsidRDefault="00022DBC" w:rsidP="00022DBC">
      <w:r w:rsidRPr="00914030">
        <w:rPr>
          <w:rFonts w:cs="Arial"/>
        </w:rPr>
        <w:t xml:space="preserve">FSANZ has </w:t>
      </w:r>
      <w:r w:rsidRPr="00914030">
        <w:t xml:space="preserve">considered the three objectives in subsection 18(1) of the </w:t>
      </w:r>
      <w:r>
        <w:t>FSANZ Act during the assessment.</w:t>
      </w:r>
    </w:p>
    <w:p w14:paraId="7C56E999" w14:textId="5BD83FC7" w:rsidR="00022DBC" w:rsidRPr="00914030" w:rsidRDefault="00BE3818" w:rsidP="00022DBC">
      <w:pPr>
        <w:pStyle w:val="Heading4"/>
        <w:rPr>
          <w:lang w:eastAsia="en-AU"/>
        </w:rPr>
      </w:pPr>
      <w:bookmarkStart w:id="69" w:name="_Toc297029117"/>
      <w:bookmarkStart w:id="70" w:name="_Toc300761898"/>
      <w:bookmarkStart w:id="71" w:name="_Toc300933441"/>
      <w:r>
        <w:rPr>
          <w:lang w:eastAsia="en-AU"/>
        </w:rPr>
        <w:t>2.</w:t>
      </w:r>
      <w:r w:rsidR="008D254D">
        <w:rPr>
          <w:lang w:eastAsia="en-AU"/>
        </w:rPr>
        <w:t>5</w:t>
      </w:r>
      <w:r>
        <w:rPr>
          <w:lang w:eastAsia="en-AU"/>
        </w:rPr>
        <w:t>.2</w:t>
      </w:r>
      <w:r w:rsidR="00022DBC" w:rsidRPr="00914030">
        <w:rPr>
          <w:lang w:eastAsia="en-AU"/>
        </w:rPr>
        <w:t>.1</w:t>
      </w:r>
      <w:r w:rsidR="00022DBC" w:rsidRPr="00914030">
        <w:rPr>
          <w:lang w:eastAsia="en-AU"/>
        </w:rPr>
        <w:tab/>
        <w:t>Protection of public health and safety</w:t>
      </w:r>
      <w:bookmarkEnd w:id="69"/>
      <w:bookmarkEnd w:id="70"/>
      <w:bookmarkEnd w:id="71"/>
    </w:p>
    <w:p w14:paraId="2D4C8333" w14:textId="67303483" w:rsidR="00022DBC" w:rsidRPr="00BE3818" w:rsidRDefault="00CF2F29" w:rsidP="00022DBC">
      <w:pPr>
        <w:rPr>
          <w:color w:val="00B050"/>
        </w:rPr>
      </w:pPr>
      <w:r>
        <w:rPr>
          <w:szCs w:val="22"/>
        </w:rPr>
        <w:t xml:space="preserve">This Proposal is intended to improve protection of public health and safety by reviewing current requirements for chemical migration from packaging and assessing whether there is a residual risk which </w:t>
      </w:r>
      <w:r w:rsidR="006267F1">
        <w:rPr>
          <w:szCs w:val="22"/>
        </w:rPr>
        <w:t xml:space="preserve">needs to </w:t>
      </w:r>
      <w:r>
        <w:rPr>
          <w:szCs w:val="22"/>
        </w:rPr>
        <w:t>be managed through regulatory or non-regulatory means</w:t>
      </w:r>
      <w:r w:rsidR="00E76ACC">
        <w:rPr>
          <w:szCs w:val="22"/>
        </w:rPr>
        <w:t xml:space="preserve">. </w:t>
      </w:r>
      <w:r>
        <w:rPr>
          <w:szCs w:val="22"/>
        </w:rPr>
        <w:t>The Proposal also into intends to address emerging issues which may present a public health concern.</w:t>
      </w:r>
      <w:r>
        <w:rPr>
          <w:rFonts w:eastAsia="Calibri"/>
          <w:lang w:bidi="ar-SA"/>
        </w:rPr>
        <w:t xml:space="preserve"> </w:t>
      </w:r>
    </w:p>
    <w:p w14:paraId="6B5215AA" w14:textId="77F35D03" w:rsidR="00022DBC" w:rsidRPr="00914030" w:rsidRDefault="00BE3818" w:rsidP="00022DBC">
      <w:pPr>
        <w:pStyle w:val="Heading4"/>
        <w:rPr>
          <w:lang w:eastAsia="en-AU"/>
        </w:rPr>
      </w:pPr>
      <w:bookmarkStart w:id="72" w:name="_Toc300761899"/>
      <w:bookmarkStart w:id="73" w:name="_Toc300933442"/>
      <w:r>
        <w:rPr>
          <w:lang w:eastAsia="en-AU"/>
        </w:rPr>
        <w:t>2.</w:t>
      </w:r>
      <w:r w:rsidR="008D254D">
        <w:rPr>
          <w:lang w:eastAsia="en-AU"/>
        </w:rPr>
        <w:t>5</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2"/>
      <w:bookmarkEnd w:id="73"/>
    </w:p>
    <w:p w14:paraId="4716084E" w14:textId="22FF1541" w:rsidR="00022DBC" w:rsidRPr="00CF2F29" w:rsidRDefault="00CF2F29" w:rsidP="00022DBC">
      <w:r w:rsidRPr="00CF2F29">
        <w:t>Not relevant</w:t>
      </w:r>
      <w:r w:rsidR="00D93F9B">
        <w:t>.</w:t>
      </w:r>
    </w:p>
    <w:p w14:paraId="3349613E" w14:textId="2D0D30A2" w:rsidR="00022DBC" w:rsidRPr="00914030" w:rsidRDefault="00BE3818" w:rsidP="00022DBC">
      <w:pPr>
        <w:pStyle w:val="Heading4"/>
        <w:rPr>
          <w:lang w:eastAsia="en-AU"/>
        </w:rPr>
      </w:pPr>
      <w:bookmarkStart w:id="74" w:name="_Toc300761900"/>
      <w:bookmarkStart w:id="75" w:name="_Toc300933443"/>
      <w:r>
        <w:rPr>
          <w:lang w:eastAsia="en-AU"/>
        </w:rPr>
        <w:t>2.</w:t>
      </w:r>
      <w:r w:rsidR="008D254D">
        <w:rPr>
          <w:lang w:eastAsia="en-AU"/>
        </w:rPr>
        <w:t>5</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4"/>
      <w:bookmarkEnd w:id="75"/>
    </w:p>
    <w:p w14:paraId="21245740" w14:textId="79E826FE" w:rsidR="00D927E0" w:rsidRDefault="00CF2F29" w:rsidP="00022DBC">
      <w:r w:rsidRPr="00CF2F29">
        <w:t>Not relevant</w:t>
      </w:r>
      <w:r w:rsidR="00862246">
        <w:t>.</w:t>
      </w:r>
      <w:r w:rsidR="00D927E0">
        <w:br w:type="page"/>
      </w:r>
    </w:p>
    <w:p w14:paraId="0A33EFEB" w14:textId="2D72CE6F" w:rsidR="00022DBC" w:rsidRPr="00914030" w:rsidRDefault="00B51E03" w:rsidP="00B51E03">
      <w:pPr>
        <w:pStyle w:val="Heading3"/>
      </w:pPr>
      <w:bookmarkStart w:id="76" w:name="_Toc300761901"/>
      <w:bookmarkStart w:id="77" w:name="_Toc300933444"/>
      <w:bookmarkStart w:id="78" w:name="_Toc452645344"/>
      <w:r>
        <w:lastRenderedPageBreak/>
        <w:t>2.</w:t>
      </w:r>
      <w:r w:rsidR="008D254D">
        <w:t>5</w:t>
      </w:r>
      <w:r>
        <w:t>.3</w:t>
      </w:r>
      <w:r w:rsidR="00022DBC" w:rsidRPr="00914030">
        <w:tab/>
        <w:t xml:space="preserve">Subsection 18(2) </w:t>
      </w:r>
      <w:bookmarkEnd w:id="76"/>
      <w:bookmarkEnd w:id="77"/>
      <w:r w:rsidR="00022DBC" w:rsidRPr="00914030">
        <w:t>considerations</w:t>
      </w:r>
      <w:bookmarkEnd w:id="78"/>
    </w:p>
    <w:p w14:paraId="0587D0A8" w14:textId="77777777" w:rsidR="00022DBC" w:rsidRPr="00914030" w:rsidRDefault="00022DBC" w:rsidP="00022DBC">
      <w:pPr>
        <w:rPr>
          <w:rFonts w:cs="Arial"/>
        </w:rPr>
      </w:pPr>
      <w:r w:rsidRPr="00914030">
        <w:rPr>
          <w:rFonts w:cs="Arial"/>
        </w:rPr>
        <w:t>FSANZ has also had regard to:</w:t>
      </w:r>
    </w:p>
    <w:p w14:paraId="465C7F0B" w14:textId="77777777" w:rsidR="00022DBC" w:rsidRPr="00914030" w:rsidRDefault="00022DBC" w:rsidP="00022DBC">
      <w:pPr>
        <w:rPr>
          <w:rFonts w:cs="Arial"/>
        </w:rPr>
      </w:pPr>
    </w:p>
    <w:p w14:paraId="6582A3CF"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5FD31BBB" w14:textId="77777777" w:rsidR="008828D9" w:rsidRDefault="008828D9" w:rsidP="008828D9">
      <w:pPr>
        <w:rPr>
          <w:lang w:bidi="ar-SA"/>
        </w:rPr>
      </w:pPr>
    </w:p>
    <w:p w14:paraId="4A33AC6A" w14:textId="4117254E" w:rsidR="008828D9" w:rsidRPr="00473C04" w:rsidRDefault="0077567E" w:rsidP="008828D9">
      <w:r w:rsidRPr="00473C04">
        <w:rPr>
          <w:lang w:bidi="ar-SA"/>
        </w:rPr>
        <w:t>FSANZ undertook a risk profile approach to assess the inherent risk from chemicals used in packaging</w:t>
      </w:r>
      <w:r w:rsidR="00E76ACC">
        <w:rPr>
          <w:lang w:bidi="ar-SA"/>
        </w:rPr>
        <w:t xml:space="preserve">. </w:t>
      </w:r>
      <w:r w:rsidRPr="00473C04">
        <w:rPr>
          <w:lang w:bidi="ar-SA"/>
        </w:rPr>
        <w:t xml:space="preserve">This information, together with evidence from survey data </w:t>
      </w:r>
      <w:r w:rsidR="00473C04" w:rsidRPr="00473C04">
        <w:rPr>
          <w:lang w:bidi="ar-SA"/>
        </w:rPr>
        <w:t xml:space="preserve">and consultation on current control measures, </w:t>
      </w:r>
      <w:r w:rsidRPr="00473C04">
        <w:rPr>
          <w:lang w:bidi="ar-SA"/>
        </w:rPr>
        <w:t xml:space="preserve">enabled a qualitative characterisation of the residual risk from </w:t>
      </w:r>
      <w:r w:rsidR="007D075E">
        <w:rPr>
          <w:lang w:bidi="ar-SA"/>
        </w:rPr>
        <w:t>CMPF</w:t>
      </w:r>
      <w:r w:rsidR="00E76ACC">
        <w:rPr>
          <w:lang w:bidi="ar-SA"/>
        </w:rPr>
        <w:t xml:space="preserve">. </w:t>
      </w:r>
      <w:r w:rsidR="00F306C5">
        <w:rPr>
          <w:lang w:bidi="ar-SA"/>
        </w:rPr>
        <w:t>Four</w:t>
      </w:r>
      <w:r w:rsidR="00F306C5" w:rsidRPr="00473C04">
        <w:rPr>
          <w:lang w:bidi="ar-SA"/>
        </w:rPr>
        <w:t xml:space="preserve"> </w:t>
      </w:r>
      <w:r w:rsidR="00473C04" w:rsidRPr="00473C04">
        <w:rPr>
          <w:lang w:bidi="ar-SA"/>
        </w:rPr>
        <w:t>risk management options have been proposed in this paper and t</w:t>
      </w:r>
      <w:r w:rsidR="00DB25A8" w:rsidRPr="00473C04">
        <w:t xml:space="preserve">he responses to this call for submissions will inform the decision in relation </w:t>
      </w:r>
      <w:r w:rsidR="00155A13">
        <w:t xml:space="preserve">to </w:t>
      </w:r>
      <w:r w:rsidR="00473C04" w:rsidRPr="00473C04">
        <w:t xml:space="preserve">a preferred option and </w:t>
      </w:r>
      <w:r w:rsidR="0010220B">
        <w:t>any</w:t>
      </w:r>
      <w:r w:rsidR="0010220B" w:rsidRPr="00473C04">
        <w:t xml:space="preserve"> </w:t>
      </w:r>
      <w:r w:rsidR="00DB25A8" w:rsidRPr="00473C04">
        <w:t>preparation of a draft variation</w:t>
      </w:r>
      <w:r w:rsidR="00462A77">
        <w:t xml:space="preserve">. </w:t>
      </w:r>
    </w:p>
    <w:p w14:paraId="5672B6D4" w14:textId="77777777" w:rsidR="00DB25A8" w:rsidRPr="008828D9" w:rsidRDefault="00DB25A8" w:rsidP="008828D9">
      <w:pPr>
        <w:rPr>
          <w:lang w:bidi="ar-SA"/>
        </w:rPr>
      </w:pPr>
    </w:p>
    <w:p w14:paraId="3B6A4935" w14:textId="77777777" w:rsidR="00022DBC" w:rsidRPr="008828D9" w:rsidRDefault="00022DBC" w:rsidP="00022DBC">
      <w:pPr>
        <w:pStyle w:val="FSBullet1"/>
        <w:rPr>
          <w:b/>
        </w:rPr>
      </w:pPr>
      <w:r w:rsidRPr="008828D9">
        <w:rPr>
          <w:b/>
        </w:rPr>
        <w:t>the promotion of consistency between domestic and international food standards</w:t>
      </w:r>
    </w:p>
    <w:p w14:paraId="778742E7" w14:textId="77777777" w:rsidR="008828D9" w:rsidRPr="00473C04" w:rsidRDefault="008828D9" w:rsidP="008828D9">
      <w:pPr>
        <w:rPr>
          <w:lang w:bidi="ar-SA"/>
        </w:rPr>
      </w:pPr>
    </w:p>
    <w:p w14:paraId="54495BA9" w14:textId="10393B14" w:rsidR="005A6791" w:rsidRDefault="005A6791" w:rsidP="005A6791">
      <w:pPr>
        <w:rPr>
          <w:rFonts w:cs="Arial"/>
          <w:sz w:val="16"/>
          <w:szCs w:val="16"/>
          <w:lang w:eastAsia="en-GB" w:bidi="ar-SA"/>
        </w:rPr>
      </w:pPr>
      <w:r>
        <w:t xml:space="preserve">There is no generic international standard on CMPF. </w:t>
      </w:r>
      <w:r>
        <w:rPr>
          <w:rFonts w:cs="Arial"/>
          <w:szCs w:val="22"/>
          <w:lang w:eastAsia="en-GB" w:bidi="ar-SA"/>
        </w:rPr>
        <w:t>There is a limited amount of guidance</w:t>
      </w:r>
      <w:r w:rsidR="00287625">
        <w:rPr>
          <w:rFonts w:cs="Arial"/>
          <w:szCs w:val="22"/>
          <w:lang w:eastAsia="en-GB" w:bidi="ar-SA"/>
        </w:rPr>
        <w:t xml:space="preserve"> </w:t>
      </w:r>
      <w:r>
        <w:rPr>
          <w:rFonts w:cs="Arial"/>
          <w:szCs w:val="22"/>
          <w:lang w:eastAsia="en-GB" w:bidi="ar-SA"/>
        </w:rPr>
        <w:t>on CMPF through the standards and guidelines</w:t>
      </w:r>
      <w:r w:rsidR="00B02211">
        <w:rPr>
          <w:rFonts w:cs="Arial"/>
          <w:szCs w:val="22"/>
          <w:lang w:eastAsia="en-GB" w:bidi="ar-SA"/>
        </w:rPr>
        <w:t xml:space="preserve"> </w:t>
      </w:r>
      <w:r>
        <w:rPr>
          <w:rFonts w:cs="Arial"/>
          <w:szCs w:val="22"/>
          <w:lang w:eastAsia="en-GB" w:bidi="ar-SA"/>
        </w:rPr>
        <w:t>developed through the Codex Alimentarius Commission (Codex), which establishes</w:t>
      </w:r>
      <w:r w:rsidR="00B02211">
        <w:rPr>
          <w:rFonts w:cs="Arial"/>
          <w:szCs w:val="22"/>
          <w:lang w:eastAsia="en-GB" w:bidi="ar-SA"/>
        </w:rPr>
        <w:t xml:space="preserve"> </w:t>
      </w:r>
      <w:r>
        <w:rPr>
          <w:rFonts w:cs="Arial"/>
          <w:szCs w:val="22"/>
          <w:lang w:eastAsia="en-GB" w:bidi="ar-SA"/>
        </w:rPr>
        <w:t>international food standards and guidelines to protect public health and safety and facilitate trade in food. The Codex General Standard for Contaminants and Toxins in Food and Feed</w:t>
      </w:r>
      <w:r>
        <w:rPr>
          <w:rStyle w:val="FootnoteReference"/>
          <w:rFonts w:cs="Arial"/>
          <w:szCs w:val="22"/>
          <w:lang w:eastAsia="en-GB" w:bidi="ar-SA"/>
        </w:rPr>
        <w:footnoteReference w:id="33"/>
      </w:r>
      <w:r>
        <w:rPr>
          <w:rFonts w:cs="Arial"/>
          <w:szCs w:val="22"/>
          <w:lang w:eastAsia="en-GB" w:bidi="ar-SA"/>
        </w:rPr>
        <w:t xml:space="preserve"> includes maximum levels for tin, vinyl chloride and acrylonitrile. General packaging requirements are referred to in the Recommended </w:t>
      </w:r>
      <w:r w:rsidR="00B02211">
        <w:rPr>
          <w:rFonts w:cs="Arial"/>
          <w:szCs w:val="22"/>
          <w:lang w:eastAsia="en-GB" w:bidi="ar-SA"/>
        </w:rPr>
        <w:t xml:space="preserve">International Code of Practice - </w:t>
      </w:r>
      <w:r>
        <w:rPr>
          <w:rFonts w:cs="Arial"/>
          <w:szCs w:val="22"/>
          <w:lang w:eastAsia="en-GB" w:bidi="ar-SA"/>
        </w:rPr>
        <w:t>General Principles of Food Hygiene (CAC/RCP 1-1969, Rev. 4-2003)</w:t>
      </w:r>
      <w:r>
        <w:rPr>
          <w:rStyle w:val="FootnoteReference"/>
          <w:rFonts w:cs="Arial"/>
          <w:szCs w:val="22"/>
          <w:lang w:eastAsia="en-GB" w:bidi="ar-SA"/>
        </w:rPr>
        <w:footnoteReference w:id="34"/>
      </w:r>
      <w:r>
        <w:rPr>
          <w:rFonts w:cs="Arial"/>
          <w:szCs w:val="22"/>
          <w:lang w:eastAsia="en-GB" w:bidi="ar-SA"/>
        </w:rPr>
        <w:t>.</w:t>
      </w:r>
    </w:p>
    <w:p w14:paraId="46785640" w14:textId="77777777" w:rsidR="005A6791" w:rsidRDefault="005A6791" w:rsidP="008828D9"/>
    <w:p w14:paraId="2368E16C" w14:textId="679EA652" w:rsidR="00EF0684" w:rsidRDefault="005A6791" w:rsidP="008828D9">
      <w:r>
        <w:t xml:space="preserve">Despite the absence of a generic international standard on CMPF, </w:t>
      </w:r>
      <w:r w:rsidR="007D4222">
        <w:t>f</w:t>
      </w:r>
      <w:r w:rsidR="00EF0684">
        <w:t>ro</w:t>
      </w:r>
      <w:r w:rsidR="007D4222">
        <w:t>m FSANZ’s extensive consultation</w:t>
      </w:r>
      <w:r w:rsidR="00EF0684">
        <w:t xml:space="preserve">, it was established that a number of companies (both packaging and food) </w:t>
      </w:r>
      <w:r w:rsidR="003048DD">
        <w:t>in Australia and New Zea</w:t>
      </w:r>
      <w:r w:rsidR="00904B47">
        <w:t xml:space="preserve">land </w:t>
      </w:r>
      <w:r w:rsidR="00DC6849">
        <w:t xml:space="preserve">voluntarily </w:t>
      </w:r>
      <w:r w:rsidR="004E2A97">
        <w:t xml:space="preserve">apply </w:t>
      </w:r>
      <w:r w:rsidR="00EF0684">
        <w:t>US or EU regulations</w:t>
      </w:r>
      <w:r w:rsidR="003048DD">
        <w:t xml:space="preserve"> to control CMPF. This is </w:t>
      </w:r>
      <w:r w:rsidR="00EF0684">
        <w:t xml:space="preserve">reflected in </w:t>
      </w:r>
      <w:r w:rsidR="000E0592">
        <w:t xml:space="preserve">a </w:t>
      </w:r>
      <w:r w:rsidR="00EF0684">
        <w:t>limited number of detections of CMPF in the most recent surveys undertaken by both FSANZ and the NZMPI</w:t>
      </w:r>
      <w:r w:rsidR="00904B47">
        <w:t>, other than the two ph</w:t>
      </w:r>
      <w:r w:rsidR="00DA51F2">
        <w:t>th</w:t>
      </w:r>
      <w:r w:rsidR="00904B47">
        <w:t>alates (DEHP and DINP)</w:t>
      </w:r>
      <w:r w:rsidR="00EF0684">
        <w:t xml:space="preserve">. </w:t>
      </w:r>
      <w:r w:rsidR="00BE50D2">
        <w:t>FSANZ</w:t>
      </w:r>
      <w:r w:rsidR="004E2A97">
        <w:t xml:space="preserve">’s view, based on the evidence </w:t>
      </w:r>
      <w:r>
        <w:t xml:space="preserve">currently </w:t>
      </w:r>
      <w:r w:rsidR="004E2A97">
        <w:t xml:space="preserve">available, is </w:t>
      </w:r>
      <w:r w:rsidR="00904B47">
        <w:t xml:space="preserve">that </w:t>
      </w:r>
      <w:r w:rsidR="004E2A97">
        <w:t>the adoption of US or EU regulations in or by the</w:t>
      </w:r>
      <w:r w:rsidR="00904B47">
        <w:t xml:space="preserve"> Code </w:t>
      </w:r>
      <w:r w:rsidR="004E2A97">
        <w:t>is not warranted</w:t>
      </w:r>
      <w:r w:rsidR="00287625">
        <w:t xml:space="preserve">. </w:t>
      </w:r>
    </w:p>
    <w:p w14:paraId="247D7E1C" w14:textId="77777777" w:rsidR="00EF0684" w:rsidRDefault="00EF0684" w:rsidP="008828D9"/>
    <w:p w14:paraId="7EB35AF5" w14:textId="07798B7F" w:rsidR="008828D9" w:rsidRDefault="005A6791" w:rsidP="008828D9">
      <w:r>
        <w:t>This</w:t>
      </w:r>
      <w:r w:rsidR="00DB25A8" w:rsidRPr="00473C04">
        <w:t xml:space="preserve"> </w:t>
      </w:r>
      <w:r w:rsidR="00862246">
        <w:t>P</w:t>
      </w:r>
      <w:r w:rsidR="00DB25A8" w:rsidRPr="00473C04">
        <w:t xml:space="preserve">roposal has drawn on elements of </w:t>
      </w:r>
      <w:r w:rsidR="009712C3">
        <w:t xml:space="preserve">these existing </w:t>
      </w:r>
      <w:r w:rsidR="00DB25A8" w:rsidRPr="00473C04">
        <w:t xml:space="preserve">international regulatory systems and considered consistency with these where </w:t>
      </w:r>
      <w:r w:rsidR="004E2A97">
        <w:t>appropriate</w:t>
      </w:r>
      <w:r w:rsidR="004E2A97" w:rsidRPr="00473C04">
        <w:t xml:space="preserve"> </w:t>
      </w:r>
      <w:r w:rsidR="00DB25A8" w:rsidRPr="00473C04">
        <w:t>within the Australia New Zealand legislative environment</w:t>
      </w:r>
      <w:r w:rsidR="004E2A97">
        <w:t xml:space="preserve">, having regard to the available evidence and </w:t>
      </w:r>
      <w:r>
        <w:t xml:space="preserve">the </w:t>
      </w:r>
      <w:r w:rsidR="004E2A97">
        <w:t xml:space="preserve">risk </w:t>
      </w:r>
      <w:r w:rsidR="00123791">
        <w:t>analysis</w:t>
      </w:r>
      <w:r w:rsidR="00E76ACC">
        <w:t xml:space="preserve">. </w:t>
      </w:r>
    </w:p>
    <w:p w14:paraId="2DB3A863" w14:textId="77777777" w:rsidR="00372F39" w:rsidRPr="00473C04" w:rsidRDefault="00372F39" w:rsidP="00372F39">
      <w:pPr>
        <w:rPr>
          <w:lang w:bidi="ar-SA"/>
        </w:rPr>
      </w:pPr>
    </w:p>
    <w:p w14:paraId="41B56862" w14:textId="77777777" w:rsidR="00022DBC" w:rsidRPr="00473C04" w:rsidRDefault="00022DBC" w:rsidP="00022DBC">
      <w:pPr>
        <w:pStyle w:val="FSBullet1"/>
        <w:rPr>
          <w:b/>
        </w:rPr>
      </w:pPr>
      <w:r w:rsidRPr="00473C04">
        <w:rPr>
          <w:b/>
        </w:rPr>
        <w:t>the desirability of an efficient and internationally competitive food industry</w:t>
      </w:r>
    </w:p>
    <w:p w14:paraId="67724959" w14:textId="77777777" w:rsidR="008828D9" w:rsidRPr="00473C04" w:rsidRDefault="008828D9" w:rsidP="008828D9">
      <w:pPr>
        <w:rPr>
          <w:lang w:bidi="ar-SA"/>
        </w:rPr>
      </w:pPr>
    </w:p>
    <w:p w14:paraId="67513F67" w14:textId="25C999A5" w:rsidR="008828D9" w:rsidRPr="00473C04" w:rsidRDefault="00A03333" w:rsidP="008828D9">
      <w:r>
        <w:t>This P</w:t>
      </w:r>
      <w:r w:rsidR="00DB25A8" w:rsidRPr="00473C04">
        <w:t xml:space="preserve">roposal </w:t>
      </w:r>
      <w:r>
        <w:t xml:space="preserve">aims </w:t>
      </w:r>
      <w:r w:rsidR="00DB25A8" w:rsidRPr="00473C04">
        <w:t xml:space="preserve">to </w:t>
      </w:r>
      <w:r w:rsidR="004E2A97">
        <w:t>protect public health and safety</w:t>
      </w:r>
      <w:r w:rsidR="004E2A97" w:rsidRPr="00473C04">
        <w:t xml:space="preserve"> </w:t>
      </w:r>
      <w:r w:rsidR="004E2A97">
        <w:t xml:space="preserve">and also </w:t>
      </w:r>
      <w:r w:rsidR="00DB25A8" w:rsidRPr="00473C04">
        <w:t>facilitate efficiency and an internationally competitive market by creating a more level playing field for the New Zealand and Australian food industry and by being better prepared for future trends and development</w:t>
      </w:r>
      <w:r w:rsidR="007D4222">
        <w:t>.</w:t>
      </w:r>
      <w:r w:rsidR="00DB25A8" w:rsidRPr="00473C04">
        <w:t xml:space="preserve"> </w:t>
      </w:r>
    </w:p>
    <w:p w14:paraId="1F05A599" w14:textId="77777777" w:rsidR="00DB25A8" w:rsidRPr="00473C04" w:rsidRDefault="00DB25A8" w:rsidP="008828D9">
      <w:pPr>
        <w:rPr>
          <w:lang w:bidi="ar-SA"/>
        </w:rPr>
      </w:pPr>
    </w:p>
    <w:p w14:paraId="32FA44E9" w14:textId="77777777" w:rsidR="00022DBC" w:rsidRPr="008828D9" w:rsidRDefault="00022DBC" w:rsidP="00022DBC">
      <w:pPr>
        <w:pStyle w:val="FSBullet1"/>
        <w:rPr>
          <w:b/>
        </w:rPr>
      </w:pPr>
      <w:r w:rsidRPr="008828D9">
        <w:rPr>
          <w:b/>
        </w:rPr>
        <w:t>the promotion of fair trading in food</w:t>
      </w:r>
    </w:p>
    <w:p w14:paraId="4632671A" w14:textId="77777777" w:rsidR="008828D9" w:rsidRDefault="008828D9" w:rsidP="008828D9">
      <w:pPr>
        <w:rPr>
          <w:lang w:bidi="ar-SA"/>
        </w:rPr>
      </w:pPr>
    </w:p>
    <w:p w14:paraId="2BAF92C7" w14:textId="65D5FC58" w:rsidR="00DB25A8" w:rsidRDefault="00F211F2" w:rsidP="008828D9">
      <w:r>
        <w:t xml:space="preserve">No relevant issues raised. </w:t>
      </w:r>
    </w:p>
    <w:p w14:paraId="1EE8D8E8" w14:textId="77777777" w:rsidR="00AF398B" w:rsidRPr="008828D9" w:rsidRDefault="00AF398B" w:rsidP="008828D9">
      <w:pPr>
        <w:rPr>
          <w:lang w:bidi="ar-SA"/>
        </w:rPr>
      </w:pPr>
    </w:p>
    <w:p w14:paraId="4455C6FB" w14:textId="2D644D67" w:rsidR="00022DBC" w:rsidRPr="005E2F53" w:rsidRDefault="00022DBC" w:rsidP="00022DBC">
      <w:pPr>
        <w:pStyle w:val="FSBullet1"/>
      </w:pPr>
      <w:r w:rsidRPr="008828D9">
        <w:rPr>
          <w:b/>
        </w:rPr>
        <w:t xml:space="preserve">any written policy guidelines formulated by the </w:t>
      </w:r>
      <w:r w:rsidR="00862246">
        <w:rPr>
          <w:b/>
        </w:rPr>
        <w:t>Forum on Food Regulation</w:t>
      </w:r>
    </w:p>
    <w:p w14:paraId="29BF6254" w14:textId="77777777" w:rsidR="00022DBC" w:rsidRDefault="00022DBC" w:rsidP="00022DBC">
      <w:pPr>
        <w:rPr>
          <w:lang w:bidi="ar-SA"/>
        </w:rPr>
      </w:pPr>
    </w:p>
    <w:p w14:paraId="2E2BED82" w14:textId="4ACE8485" w:rsidR="00D927E0" w:rsidRDefault="00CF2F29" w:rsidP="00022DBC">
      <w:r w:rsidRPr="00CF2F29">
        <w:t xml:space="preserve">No </w:t>
      </w:r>
      <w:r w:rsidR="00372F39">
        <w:t>p</w:t>
      </w:r>
      <w:r w:rsidRPr="00CF2F29">
        <w:t xml:space="preserve">olicy </w:t>
      </w:r>
      <w:r w:rsidR="00372F39">
        <w:t>g</w:t>
      </w:r>
      <w:r w:rsidRPr="00CF2F29">
        <w:t xml:space="preserve">uideline is available. </w:t>
      </w:r>
      <w:r w:rsidR="00D927E0">
        <w:br w:type="page"/>
      </w:r>
    </w:p>
    <w:p w14:paraId="3A229A4A" w14:textId="651DD497" w:rsidR="00924C80" w:rsidRPr="00A66DB2" w:rsidRDefault="005F1BE1" w:rsidP="00E75054">
      <w:pPr>
        <w:pStyle w:val="Heading1"/>
      </w:pPr>
      <w:bookmarkStart w:id="79" w:name="_Toc11735643"/>
      <w:bookmarkStart w:id="80" w:name="_Toc29883130"/>
      <w:bookmarkStart w:id="81" w:name="_Toc41906817"/>
      <w:bookmarkStart w:id="82" w:name="_Toc41907564"/>
      <w:bookmarkStart w:id="83" w:name="_Toc43112360"/>
      <w:bookmarkStart w:id="84" w:name="_Toc300933452"/>
      <w:bookmarkStart w:id="85" w:name="_Toc452645345"/>
      <w:bookmarkEnd w:id="23"/>
      <w:bookmarkEnd w:id="24"/>
      <w:bookmarkEnd w:id="25"/>
      <w:bookmarkEnd w:id="26"/>
      <w:bookmarkEnd w:id="27"/>
      <w:bookmarkEnd w:id="28"/>
      <w:bookmarkEnd w:id="48"/>
      <w:r w:rsidRPr="00A66DB2">
        <w:lastRenderedPageBreak/>
        <w:t>3</w:t>
      </w:r>
      <w:r w:rsidR="00924C80" w:rsidRPr="00A66DB2">
        <w:tab/>
        <w:t>R</w:t>
      </w:r>
      <w:bookmarkEnd w:id="84"/>
      <w:r w:rsidR="006C28E2" w:rsidRPr="00A66DB2">
        <w:t>eferences</w:t>
      </w:r>
      <w:bookmarkEnd w:id="85"/>
    </w:p>
    <w:bookmarkEnd w:id="79"/>
    <w:bookmarkEnd w:id="80"/>
    <w:bookmarkEnd w:id="81"/>
    <w:bookmarkEnd w:id="82"/>
    <w:bookmarkEnd w:id="83"/>
    <w:p w14:paraId="3413CF39" w14:textId="62695811" w:rsidR="008D1B61" w:rsidRPr="00E700B2" w:rsidRDefault="008D1B61" w:rsidP="00C5647D">
      <w:pPr>
        <w:widowControl/>
        <w:autoSpaceDE w:val="0"/>
        <w:autoSpaceDN w:val="0"/>
        <w:adjustRightInd w:val="0"/>
        <w:rPr>
          <w:rFonts w:cs="Arial"/>
          <w:color w:val="000000"/>
          <w:sz w:val="20"/>
          <w:szCs w:val="22"/>
          <w:lang w:eastAsia="en-GB" w:bidi="ar-SA"/>
        </w:rPr>
      </w:pPr>
      <w:r w:rsidRPr="00E700B2">
        <w:rPr>
          <w:sz w:val="20"/>
          <w:szCs w:val="22"/>
        </w:rPr>
        <w:t>Biedermann M, Grob K (2013) Assurance of safety of recycled paperboard for food packaging through comprehensive analysis of potential migrants is unrealistic. J Chromatogr A. 1293:107-19.</w:t>
      </w:r>
    </w:p>
    <w:p w14:paraId="5E67A009" w14:textId="77777777" w:rsidR="008D1B61" w:rsidRPr="00E700B2" w:rsidRDefault="008D1B61" w:rsidP="00C5647D">
      <w:pPr>
        <w:widowControl/>
        <w:autoSpaceDE w:val="0"/>
        <w:autoSpaceDN w:val="0"/>
        <w:adjustRightInd w:val="0"/>
        <w:rPr>
          <w:rFonts w:cs="Arial"/>
          <w:color w:val="000000"/>
          <w:sz w:val="20"/>
          <w:szCs w:val="22"/>
          <w:lang w:eastAsia="en-GB" w:bidi="ar-SA"/>
        </w:rPr>
      </w:pPr>
    </w:p>
    <w:p w14:paraId="58A6C1A5" w14:textId="0AF5F653" w:rsidR="00C5647D" w:rsidRPr="00E700B2" w:rsidRDefault="00C5647D" w:rsidP="00F45D43">
      <w:pPr>
        <w:widowControl/>
        <w:autoSpaceDE w:val="0"/>
        <w:autoSpaceDN w:val="0"/>
        <w:adjustRightInd w:val="0"/>
        <w:rPr>
          <w:rFonts w:cs="Arial"/>
          <w:color w:val="3333FF"/>
          <w:sz w:val="20"/>
          <w:szCs w:val="22"/>
          <w:lang w:eastAsia="en-GB" w:bidi="ar-SA"/>
        </w:rPr>
      </w:pPr>
      <w:r w:rsidRPr="00E700B2">
        <w:rPr>
          <w:rFonts w:cs="Arial"/>
          <w:color w:val="000000"/>
          <w:sz w:val="20"/>
          <w:szCs w:val="22"/>
          <w:lang w:eastAsia="en-GB" w:bidi="ar-SA"/>
        </w:rPr>
        <w:t>Cirillo,T., Fasano, E., Esposito F., Del Prete, E. &amp; Amodio Cocchieri, R. (2013) Study on the influence</w:t>
      </w:r>
      <w:r w:rsidR="00F45D43" w:rsidRPr="00E700B2">
        <w:rPr>
          <w:rFonts w:cs="Arial"/>
          <w:color w:val="000000"/>
          <w:sz w:val="20"/>
          <w:szCs w:val="22"/>
          <w:lang w:eastAsia="en-GB" w:bidi="ar-SA"/>
        </w:rPr>
        <w:t xml:space="preserve"> </w:t>
      </w:r>
      <w:r w:rsidRPr="00E700B2">
        <w:rPr>
          <w:rFonts w:cs="Arial"/>
          <w:color w:val="000000"/>
          <w:sz w:val="20"/>
          <w:szCs w:val="22"/>
          <w:lang w:eastAsia="en-GB" w:bidi="ar-SA"/>
        </w:rPr>
        <w:t>of temperature, storage time and packaging type on di-n-butylphthalate and di(2-ethylhexyl)phthalate</w:t>
      </w:r>
      <w:r w:rsidR="00F45D43" w:rsidRPr="00E700B2">
        <w:rPr>
          <w:rFonts w:cs="Arial"/>
          <w:color w:val="000000"/>
          <w:sz w:val="20"/>
          <w:szCs w:val="22"/>
          <w:lang w:eastAsia="en-GB" w:bidi="ar-SA"/>
        </w:rPr>
        <w:t xml:space="preserve"> </w:t>
      </w:r>
      <w:r w:rsidRPr="00E700B2">
        <w:rPr>
          <w:rFonts w:cs="Arial"/>
          <w:color w:val="000000"/>
          <w:sz w:val="20"/>
          <w:szCs w:val="22"/>
          <w:lang w:eastAsia="en-GB" w:bidi="ar-SA"/>
        </w:rPr>
        <w:t>release into packed meals, Food Additives &amp; Contaminants: Part A, 30:2, 403-411</w:t>
      </w:r>
      <w:r w:rsidR="00F45D43" w:rsidRPr="00E700B2">
        <w:rPr>
          <w:rFonts w:cs="Arial"/>
          <w:color w:val="000000"/>
          <w:sz w:val="20"/>
          <w:szCs w:val="22"/>
          <w:lang w:eastAsia="en-GB" w:bidi="ar-SA"/>
        </w:rPr>
        <w:t xml:space="preserve"> </w:t>
      </w:r>
      <w:hyperlink r:id="rId28" w:history="1">
        <w:r w:rsidRPr="00E700B2">
          <w:rPr>
            <w:rStyle w:val="Hyperlink"/>
            <w:rFonts w:cs="Arial"/>
            <w:sz w:val="20"/>
            <w:szCs w:val="22"/>
            <w:lang w:eastAsia="en-GB" w:bidi="ar-SA"/>
          </w:rPr>
          <w:t>http://dx.doi.org/10.1080/19440049.2012.745198</w:t>
        </w:r>
      </w:hyperlink>
    </w:p>
    <w:p w14:paraId="1270F74E" w14:textId="77777777" w:rsidR="00C5647D" w:rsidRPr="00E700B2" w:rsidRDefault="00C5647D" w:rsidP="00C5647D">
      <w:pPr>
        <w:rPr>
          <w:rFonts w:cs="Arial"/>
          <w:color w:val="3333FF"/>
          <w:sz w:val="20"/>
          <w:szCs w:val="22"/>
          <w:lang w:eastAsia="en-GB" w:bidi="ar-SA"/>
        </w:rPr>
      </w:pPr>
    </w:p>
    <w:p w14:paraId="7C7FCEA2" w14:textId="7CD34FF2" w:rsidR="00C5647D" w:rsidRPr="00E700B2" w:rsidRDefault="00C5647D" w:rsidP="00F45D43">
      <w:pPr>
        <w:widowControl/>
        <w:autoSpaceDE w:val="0"/>
        <w:autoSpaceDN w:val="0"/>
        <w:adjustRightInd w:val="0"/>
        <w:rPr>
          <w:rFonts w:cs="Arial"/>
          <w:sz w:val="20"/>
          <w:szCs w:val="22"/>
          <w:lang w:eastAsia="en-GB" w:bidi="ar-SA"/>
        </w:rPr>
      </w:pPr>
      <w:r w:rsidRPr="00E700B2">
        <w:rPr>
          <w:rFonts w:cs="Arial"/>
          <w:sz w:val="20"/>
          <w:szCs w:val="22"/>
          <w:lang w:eastAsia="en-GB" w:bidi="ar-SA"/>
        </w:rPr>
        <w:t>Muncke, J (2014) Hazards in Food contact Material: Food Packaging Contaminants. In: Montarjemi Y,</w:t>
      </w:r>
      <w:r w:rsidR="00F45D43" w:rsidRPr="00E700B2">
        <w:rPr>
          <w:rFonts w:cs="Arial"/>
          <w:sz w:val="20"/>
          <w:szCs w:val="22"/>
          <w:lang w:eastAsia="en-GB" w:bidi="ar-SA"/>
        </w:rPr>
        <w:t xml:space="preserve"> </w:t>
      </w:r>
      <w:r w:rsidRPr="00E700B2">
        <w:rPr>
          <w:rFonts w:cs="Arial"/>
          <w:sz w:val="20"/>
          <w:szCs w:val="22"/>
          <w:lang w:eastAsia="en-GB" w:bidi="ar-SA"/>
        </w:rPr>
        <w:t>Moy GG, Todd ECD (eds) The Encyclopedia of Food Safety, Volume 2. Elsevier, Boston, p. 430 –</w:t>
      </w:r>
      <w:r w:rsidR="00F45D43" w:rsidRPr="00E700B2">
        <w:rPr>
          <w:rFonts w:cs="Arial"/>
          <w:sz w:val="20"/>
          <w:szCs w:val="22"/>
          <w:lang w:eastAsia="en-GB" w:bidi="ar-SA"/>
        </w:rPr>
        <w:t xml:space="preserve"> </w:t>
      </w:r>
      <w:r w:rsidRPr="00E700B2">
        <w:rPr>
          <w:rFonts w:cs="Arial"/>
          <w:sz w:val="20"/>
          <w:szCs w:val="22"/>
          <w:lang w:eastAsia="en-GB" w:bidi="ar-SA"/>
        </w:rPr>
        <w:t>437.</w:t>
      </w:r>
    </w:p>
    <w:p w14:paraId="63E11394" w14:textId="77777777" w:rsidR="00C5647D" w:rsidRPr="00E700B2" w:rsidRDefault="00C5647D" w:rsidP="00C5647D">
      <w:pPr>
        <w:rPr>
          <w:rFonts w:cs="Arial"/>
          <w:sz w:val="20"/>
          <w:szCs w:val="22"/>
          <w:lang w:eastAsia="en-GB" w:bidi="ar-SA"/>
        </w:rPr>
      </w:pPr>
    </w:p>
    <w:p w14:paraId="1C60D048" w14:textId="24FF5E21" w:rsidR="00C5647D" w:rsidRPr="00E700B2" w:rsidRDefault="00C5647D" w:rsidP="00F45D43">
      <w:pPr>
        <w:widowControl/>
        <w:autoSpaceDE w:val="0"/>
        <w:autoSpaceDN w:val="0"/>
        <w:adjustRightInd w:val="0"/>
        <w:rPr>
          <w:rFonts w:cs="Arial"/>
          <w:sz w:val="20"/>
          <w:szCs w:val="22"/>
        </w:rPr>
      </w:pPr>
      <w:r w:rsidRPr="00E700B2">
        <w:rPr>
          <w:rFonts w:cs="Arial"/>
          <w:sz w:val="20"/>
          <w:szCs w:val="22"/>
          <w:lang w:eastAsia="en-GB" w:bidi="ar-SA"/>
        </w:rPr>
        <w:t>Robertson, G. L. (2013) Food packaging: Principles and Practice. 3rd edition CRC Press, Boca Raton,</w:t>
      </w:r>
      <w:r w:rsidR="00F45D43" w:rsidRPr="00E700B2">
        <w:rPr>
          <w:rFonts w:cs="Arial"/>
          <w:sz w:val="20"/>
          <w:szCs w:val="22"/>
          <w:lang w:eastAsia="en-GB" w:bidi="ar-SA"/>
        </w:rPr>
        <w:t xml:space="preserve"> </w:t>
      </w:r>
      <w:r w:rsidRPr="00E700B2">
        <w:rPr>
          <w:rFonts w:cs="Arial"/>
          <w:sz w:val="20"/>
          <w:szCs w:val="22"/>
          <w:lang w:eastAsia="en-GB" w:bidi="ar-SA"/>
        </w:rPr>
        <w:t>Florida.</w:t>
      </w:r>
    </w:p>
    <w:p w14:paraId="31023E5A" w14:textId="77777777" w:rsidR="00C5647D" w:rsidRPr="00E700B2" w:rsidRDefault="00C5647D" w:rsidP="00A168E9">
      <w:pPr>
        <w:rPr>
          <w:rFonts w:cs="Arial"/>
          <w:sz w:val="20"/>
          <w:szCs w:val="22"/>
        </w:rPr>
      </w:pPr>
    </w:p>
    <w:p w14:paraId="6F7E2D39" w14:textId="57182012" w:rsidR="00862246" w:rsidRPr="00E700B2" w:rsidRDefault="00A168E9" w:rsidP="0078404F">
      <w:pPr>
        <w:rPr>
          <w:sz w:val="20"/>
          <w:szCs w:val="22"/>
        </w:rPr>
      </w:pPr>
      <w:r w:rsidRPr="00E700B2">
        <w:rPr>
          <w:rFonts w:cs="Arial"/>
          <w:sz w:val="20"/>
          <w:szCs w:val="22"/>
        </w:rPr>
        <w:t>WHO (2011) World Health Organization’s Guidelines for Drinking Water Quality 2011. Annex 3 (Chemical Summary Tables). Table A3.3 Guideline values for chemicals that are of health significance in drinking-water.</w:t>
      </w:r>
      <w:r w:rsidR="00AB0275" w:rsidRPr="00E700B2">
        <w:rPr>
          <w:sz w:val="20"/>
          <w:szCs w:val="22"/>
        </w:rPr>
        <w:t xml:space="preserve"> </w:t>
      </w:r>
    </w:p>
    <w:p w14:paraId="4D45B600" w14:textId="77777777" w:rsidR="00862246" w:rsidRPr="006E3F36" w:rsidRDefault="00862246" w:rsidP="0078404F">
      <w:pPr>
        <w:rPr>
          <w:szCs w:val="22"/>
          <w:lang w:val="en-AU" w:eastAsia="en-GB" w:bidi="ar-SA"/>
        </w:rPr>
      </w:pPr>
    </w:p>
    <w:sectPr w:rsidR="00862246" w:rsidRPr="006E3F36" w:rsidSect="00981914">
      <w:footerReference w:type="default" r:id="rId2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140BB" w14:textId="77777777" w:rsidR="00462A77" w:rsidRDefault="00462A77">
      <w:r>
        <w:separator/>
      </w:r>
    </w:p>
  </w:endnote>
  <w:endnote w:type="continuationSeparator" w:id="0">
    <w:p w14:paraId="2F337717" w14:textId="77777777" w:rsidR="00462A77" w:rsidRDefault="00462A77">
      <w:r>
        <w:continuationSeparator/>
      </w:r>
    </w:p>
  </w:endnote>
  <w:endnote w:type="continuationNotice" w:id="1">
    <w:p w14:paraId="2FB41B8F" w14:textId="77777777" w:rsidR="00462A77" w:rsidRDefault="00462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99D51" w14:textId="77777777" w:rsidR="00462A77" w:rsidRDefault="00462A7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4F63A" w14:textId="77777777" w:rsidR="00462A77" w:rsidRDefault="00462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627A9" w14:textId="77777777" w:rsidR="00462A77" w:rsidRDefault="00462A7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288">
      <w:rPr>
        <w:rStyle w:val="PageNumber"/>
        <w:noProof/>
      </w:rPr>
      <w:t>i</w:t>
    </w:r>
    <w:r>
      <w:rPr>
        <w:rStyle w:val="PageNumber"/>
      </w:rPr>
      <w:fldChar w:fldCharType="end"/>
    </w:r>
  </w:p>
  <w:p w14:paraId="58EC6F89" w14:textId="77777777" w:rsidR="00462A77" w:rsidRDefault="00462A7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310889"/>
      <w:docPartObj>
        <w:docPartGallery w:val="Page Numbers (Bottom of Page)"/>
        <w:docPartUnique/>
      </w:docPartObj>
    </w:sdtPr>
    <w:sdtEndPr>
      <w:rPr>
        <w:noProof/>
      </w:rPr>
    </w:sdtEndPr>
    <w:sdtContent>
      <w:p w14:paraId="0D14CF18" w14:textId="6C877326" w:rsidR="00462A77" w:rsidRDefault="00462A77" w:rsidP="00AF398B">
        <w:pPr>
          <w:pStyle w:val="Footer"/>
          <w:jc w:val="center"/>
        </w:pPr>
        <w:r>
          <w:fldChar w:fldCharType="begin"/>
        </w:r>
        <w:r>
          <w:instrText xml:space="preserve"> PAGE   \* MERGEFORMAT </w:instrText>
        </w:r>
        <w:r>
          <w:fldChar w:fldCharType="separate"/>
        </w:r>
        <w:r w:rsidR="00604288">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9E63B" w14:textId="77777777" w:rsidR="00462A77" w:rsidRDefault="00462A77">
      <w:r>
        <w:separator/>
      </w:r>
    </w:p>
  </w:footnote>
  <w:footnote w:type="continuationSeparator" w:id="0">
    <w:p w14:paraId="7B0722C4" w14:textId="77777777" w:rsidR="00462A77" w:rsidRDefault="00462A77">
      <w:r>
        <w:continuationSeparator/>
      </w:r>
    </w:p>
  </w:footnote>
  <w:footnote w:type="continuationNotice" w:id="1">
    <w:p w14:paraId="7F87EE5A" w14:textId="77777777" w:rsidR="00462A77" w:rsidRDefault="00462A77"/>
  </w:footnote>
  <w:footnote w:id="2">
    <w:p w14:paraId="79A92998" w14:textId="622B1F02" w:rsidR="00462A77" w:rsidRPr="00E910D1" w:rsidRDefault="00462A77">
      <w:pPr>
        <w:pStyle w:val="FootnoteText"/>
        <w:rPr>
          <w:lang w:val="en-AU"/>
        </w:rPr>
      </w:pPr>
      <w:r w:rsidRPr="00E910D1">
        <w:rPr>
          <w:rStyle w:val="FootnoteReference"/>
          <w:rFonts w:cs="Arial"/>
          <w:sz w:val="18"/>
          <w:szCs w:val="18"/>
        </w:rPr>
        <w:footnoteRef/>
      </w:r>
      <w:r w:rsidRPr="00E910D1">
        <w:rPr>
          <w:rFonts w:cs="Arial"/>
          <w:sz w:val="18"/>
          <w:szCs w:val="18"/>
        </w:rPr>
        <w:t xml:space="preserve"> </w:t>
      </w:r>
      <w:r w:rsidRPr="00E910D1">
        <w:rPr>
          <w:rFonts w:cs="Arial"/>
          <w:sz w:val="18"/>
          <w:szCs w:val="18"/>
          <w:lang w:val="en-AU"/>
        </w:rPr>
        <w:t xml:space="preserve">See FSANZ’s first consultation paper for a description of how chemical migration from packaging into food may occur: </w:t>
      </w:r>
      <w:hyperlink r:id="rId1" w:history="1">
        <w:r w:rsidRPr="00E910D1">
          <w:rPr>
            <w:rStyle w:val="Hyperlink"/>
            <w:rFonts w:cs="Arial"/>
            <w:sz w:val="18"/>
            <w:szCs w:val="18"/>
          </w:rPr>
          <w:t>http://www.foodstandards.gov.au/code/proposals/Documents/P1034-Packaging-Consult-CFS.docx</w:t>
        </w:r>
      </w:hyperlink>
    </w:p>
  </w:footnote>
  <w:footnote w:id="3">
    <w:p w14:paraId="12184D3D" w14:textId="77777777" w:rsidR="00462A77" w:rsidRPr="006B527E" w:rsidRDefault="00462A77" w:rsidP="00A63812">
      <w:pPr>
        <w:pStyle w:val="FootnoteText"/>
        <w:rPr>
          <w:sz w:val="18"/>
          <w:szCs w:val="18"/>
          <w:lang w:val="en-AU"/>
        </w:rPr>
      </w:pPr>
      <w:r w:rsidRPr="006B527E">
        <w:rPr>
          <w:rStyle w:val="FootnoteReference"/>
          <w:sz w:val="18"/>
          <w:szCs w:val="18"/>
        </w:rPr>
        <w:footnoteRef/>
      </w:r>
      <w:r w:rsidRPr="006B527E">
        <w:rPr>
          <w:sz w:val="18"/>
          <w:szCs w:val="18"/>
        </w:rPr>
        <w:t xml:space="preserve"> </w:t>
      </w:r>
      <w:r w:rsidRPr="006B527E">
        <w:rPr>
          <w:sz w:val="18"/>
          <w:szCs w:val="18"/>
          <w:lang w:val="en-AU"/>
        </w:rPr>
        <w:t xml:space="preserve">See Consultation Paper </w:t>
      </w:r>
      <w:r>
        <w:rPr>
          <w:sz w:val="18"/>
          <w:szCs w:val="18"/>
          <w:lang w:val="en-AU"/>
        </w:rPr>
        <w:t>SD</w:t>
      </w:r>
      <w:r w:rsidRPr="006B527E">
        <w:rPr>
          <w:sz w:val="18"/>
          <w:szCs w:val="18"/>
          <w:lang w:val="en-AU"/>
        </w:rPr>
        <w:t xml:space="preserve">2 – International regulations for food contact materials: </w:t>
      </w:r>
      <w:hyperlink r:id="rId2" w:history="1">
        <w:r w:rsidRPr="006B527E">
          <w:rPr>
            <w:rStyle w:val="Hyperlink"/>
            <w:sz w:val="18"/>
            <w:szCs w:val="18"/>
            <w:lang w:val="en-AU"/>
          </w:rPr>
          <w:t>http://www.foodstandards.gov.au/code/proposals/Documents/P1034-Packaging-CFS-SD2.pdf</w:t>
        </w:r>
      </w:hyperlink>
    </w:p>
  </w:footnote>
  <w:footnote w:id="4">
    <w:p w14:paraId="08940189" w14:textId="03F98169" w:rsidR="00462A77" w:rsidRPr="006B527E" w:rsidRDefault="00462A77">
      <w:pPr>
        <w:pStyle w:val="FootnoteText"/>
        <w:rPr>
          <w:sz w:val="18"/>
          <w:szCs w:val="18"/>
          <w:lang w:val="en-AU"/>
        </w:rPr>
      </w:pPr>
      <w:r w:rsidRPr="006B527E">
        <w:rPr>
          <w:rStyle w:val="FootnoteReference"/>
          <w:sz w:val="18"/>
          <w:szCs w:val="18"/>
        </w:rPr>
        <w:footnoteRef/>
      </w:r>
      <w:r w:rsidRPr="006B527E">
        <w:rPr>
          <w:sz w:val="18"/>
          <w:szCs w:val="18"/>
        </w:rPr>
        <w:t xml:space="preserve"> </w:t>
      </w:r>
      <w:r w:rsidRPr="006B527E">
        <w:rPr>
          <w:sz w:val="18"/>
          <w:szCs w:val="18"/>
          <w:lang w:val="en-AU"/>
        </w:rPr>
        <w:t xml:space="preserve">See FSANZ’s Consultation Paper </w:t>
      </w:r>
      <w:r>
        <w:rPr>
          <w:sz w:val="18"/>
          <w:szCs w:val="18"/>
          <w:lang w:val="en-AU"/>
        </w:rPr>
        <w:t>SD</w:t>
      </w:r>
      <w:r w:rsidRPr="006B527E">
        <w:rPr>
          <w:sz w:val="18"/>
          <w:szCs w:val="18"/>
          <w:lang w:val="en-AU"/>
        </w:rPr>
        <w:t xml:space="preserve"> 3 - International responses to chemical migration from packaging into food: </w:t>
      </w:r>
      <w:hyperlink r:id="rId3" w:history="1">
        <w:r w:rsidRPr="006B527E">
          <w:rPr>
            <w:rStyle w:val="Hyperlink"/>
            <w:sz w:val="18"/>
            <w:szCs w:val="18"/>
            <w:lang w:val="en-AU"/>
          </w:rPr>
          <w:t>http://www.foodstandards.gov.au/code/proposals/Documents/P1034-Packaging-CFS-SD3.pdf</w:t>
        </w:r>
      </w:hyperlink>
    </w:p>
  </w:footnote>
  <w:footnote w:id="5">
    <w:p w14:paraId="7C54223F" w14:textId="77777777" w:rsidR="00462A77" w:rsidRPr="007F6373" w:rsidRDefault="00462A77" w:rsidP="00F5194E">
      <w:pPr>
        <w:pStyle w:val="FootnoteText"/>
        <w:rPr>
          <w:sz w:val="18"/>
          <w:szCs w:val="18"/>
          <w:lang w:val="en-AU"/>
        </w:rPr>
      </w:pPr>
      <w:r w:rsidRPr="006B527E">
        <w:rPr>
          <w:rStyle w:val="FootnoteReference"/>
          <w:sz w:val="18"/>
          <w:szCs w:val="18"/>
        </w:rPr>
        <w:footnoteRef/>
      </w:r>
      <w:r w:rsidRPr="006B527E">
        <w:rPr>
          <w:sz w:val="18"/>
          <w:szCs w:val="18"/>
        </w:rPr>
        <w:t xml:space="preserve"> </w:t>
      </w:r>
      <w:r w:rsidRPr="006B527E">
        <w:rPr>
          <w:sz w:val="18"/>
          <w:szCs w:val="18"/>
          <w:lang w:val="en-AU"/>
        </w:rPr>
        <w:t xml:space="preserve">See FSANZ website </w:t>
      </w:r>
      <w:hyperlink r:id="rId4" w:history="1">
        <w:r w:rsidRPr="006B527E">
          <w:rPr>
            <w:rStyle w:val="Hyperlink"/>
            <w:sz w:val="18"/>
            <w:szCs w:val="18"/>
            <w:lang w:val="en-AU"/>
          </w:rPr>
          <w:t>http://www.foodstandards.gov.au/Pages/default.aspx</w:t>
        </w:r>
      </w:hyperlink>
    </w:p>
  </w:footnote>
  <w:footnote w:id="6">
    <w:p w14:paraId="7073B14D" w14:textId="3CFFCC16" w:rsidR="00462A77" w:rsidRPr="000D37A1" w:rsidRDefault="00462A77" w:rsidP="0093132C">
      <w:pPr>
        <w:pStyle w:val="FootnoteText"/>
        <w:rPr>
          <w:lang w:val="en-AU"/>
        </w:rPr>
      </w:pPr>
      <w:r w:rsidRPr="00965242">
        <w:rPr>
          <w:rStyle w:val="FootnoteReference"/>
          <w:sz w:val="18"/>
          <w:szCs w:val="18"/>
        </w:rPr>
        <w:footnoteRef/>
      </w:r>
      <w:r w:rsidRPr="00965242">
        <w:rPr>
          <w:sz w:val="18"/>
          <w:szCs w:val="18"/>
        </w:rPr>
        <w:t xml:space="preserve"> </w:t>
      </w:r>
      <w:r w:rsidRPr="00965242">
        <w:rPr>
          <w:sz w:val="18"/>
          <w:szCs w:val="18"/>
          <w:lang w:val="en-AU" w:eastAsia="en-AU" w:bidi="ar-SA"/>
        </w:rPr>
        <w:t xml:space="preserve">Regardless of whether or not an ML exists in the Code, the levels of contaminants in all foods should be kept </w:t>
      </w:r>
      <w:r w:rsidRPr="0058534A">
        <w:rPr>
          <w:i/>
          <w:sz w:val="18"/>
          <w:szCs w:val="18"/>
          <w:lang w:val="en-AU" w:eastAsia="en-AU" w:bidi="ar-SA"/>
        </w:rPr>
        <w:t xml:space="preserve">As Low </w:t>
      </w:r>
      <w:proofErr w:type="gramStart"/>
      <w:r w:rsidRPr="0058534A">
        <w:rPr>
          <w:i/>
          <w:sz w:val="18"/>
          <w:szCs w:val="18"/>
          <w:lang w:val="en-AU" w:eastAsia="en-AU" w:bidi="ar-SA"/>
        </w:rPr>
        <w:t>As</w:t>
      </w:r>
      <w:proofErr w:type="gramEnd"/>
      <w:r w:rsidRPr="0058534A">
        <w:rPr>
          <w:i/>
          <w:sz w:val="18"/>
          <w:szCs w:val="18"/>
          <w:lang w:val="en-AU" w:eastAsia="en-AU" w:bidi="ar-SA"/>
        </w:rPr>
        <w:t xml:space="preserve"> Reasonably Achievable</w:t>
      </w:r>
      <w:r w:rsidRPr="00333D1D">
        <w:rPr>
          <w:sz w:val="18"/>
          <w:szCs w:val="18"/>
          <w:lang w:val="en-AU" w:eastAsia="en-AU" w:bidi="ar-SA"/>
        </w:rPr>
        <w:t xml:space="preserve"> (the ALARA principle).</w:t>
      </w:r>
    </w:p>
  </w:footnote>
  <w:footnote w:id="7">
    <w:p w14:paraId="3697809A" w14:textId="77777777" w:rsidR="00462A77" w:rsidRPr="00F702D2" w:rsidRDefault="00462A77" w:rsidP="00CB36C3">
      <w:pPr>
        <w:pStyle w:val="FootnoteText"/>
        <w:rPr>
          <w:lang w:val="en-AU"/>
        </w:rPr>
      </w:pPr>
      <w:r w:rsidRPr="000300B7">
        <w:rPr>
          <w:rStyle w:val="FootnoteReference"/>
          <w:sz w:val="18"/>
          <w:szCs w:val="18"/>
        </w:rPr>
        <w:footnoteRef/>
      </w:r>
      <w:r w:rsidRPr="000300B7">
        <w:rPr>
          <w:sz w:val="18"/>
          <w:szCs w:val="18"/>
        </w:rPr>
        <w:t xml:space="preserve"> </w:t>
      </w:r>
      <w:r w:rsidRPr="000300B7">
        <w:rPr>
          <w:sz w:val="18"/>
          <w:szCs w:val="18"/>
          <w:lang w:val="en-AU"/>
        </w:rPr>
        <w:t xml:space="preserve">The Consultation Paper, supporting documents and submissions received are available on the FSANZ website: </w:t>
      </w:r>
      <w:hyperlink r:id="rId5" w:history="1">
        <w:r w:rsidRPr="00CB36C3">
          <w:rPr>
            <w:rStyle w:val="Hyperlink"/>
            <w:sz w:val="18"/>
            <w:szCs w:val="18"/>
            <w:lang w:val="en-AU"/>
          </w:rPr>
          <w:t>http://www.foodstandards.gov.au/code/proposals/Pages/P1034ChemicalMigrationfromPackagingintoFood.aspx</w:t>
        </w:r>
      </w:hyperlink>
    </w:p>
  </w:footnote>
  <w:footnote w:id="8">
    <w:p w14:paraId="69D4B4DA" w14:textId="54329537" w:rsidR="00462A77" w:rsidRPr="00DD4395" w:rsidRDefault="00462A77">
      <w:pPr>
        <w:pStyle w:val="FootnoteText"/>
        <w:rPr>
          <w:sz w:val="18"/>
          <w:szCs w:val="18"/>
          <w:lang w:val="en-AU"/>
        </w:rPr>
      </w:pPr>
      <w:r w:rsidRPr="003D5AB8">
        <w:rPr>
          <w:rStyle w:val="FootnoteReference"/>
          <w:sz w:val="18"/>
          <w:szCs w:val="18"/>
        </w:rPr>
        <w:footnoteRef/>
      </w:r>
      <w:r w:rsidRPr="003D5AB8">
        <w:rPr>
          <w:sz w:val="18"/>
          <w:szCs w:val="18"/>
        </w:rPr>
        <w:t xml:space="preserve"> </w:t>
      </w:r>
      <w:r w:rsidRPr="00DD4395">
        <w:rPr>
          <w:sz w:val="18"/>
          <w:szCs w:val="18"/>
          <w:lang w:val="en-AU"/>
        </w:rPr>
        <w:t xml:space="preserve">An unknown risk refers to </w:t>
      </w:r>
      <w:r w:rsidRPr="00DD4395">
        <w:rPr>
          <w:sz w:val="18"/>
          <w:szCs w:val="18"/>
        </w:rPr>
        <w:t>migrant chemicals for which the evidence did not allow a characterisation of the risk.</w:t>
      </w:r>
    </w:p>
  </w:footnote>
  <w:footnote w:id="9">
    <w:p w14:paraId="7A710869" w14:textId="65E903D4" w:rsidR="00462A77" w:rsidRPr="008D45BF" w:rsidRDefault="00462A77">
      <w:pPr>
        <w:pStyle w:val="FootnoteText"/>
        <w:rPr>
          <w:sz w:val="18"/>
          <w:szCs w:val="18"/>
          <w:lang w:val="en-AU"/>
        </w:rPr>
      </w:pPr>
      <w:r w:rsidRPr="008D45BF">
        <w:rPr>
          <w:rStyle w:val="FootnoteReference"/>
          <w:sz w:val="18"/>
          <w:szCs w:val="18"/>
        </w:rPr>
        <w:footnoteRef/>
      </w:r>
      <w:r w:rsidRPr="008D45BF">
        <w:rPr>
          <w:sz w:val="18"/>
          <w:szCs w:val="18"/>
        </w:rPr>
        <w:t xml:space="preserve"> </w:t>
      </w:r>
      <w:r>
        <w:rPr>
          <w:sz w:val="18"/>
          <w:szCs w:val="18"/>
        </w:rPr>
        <w:t>For example, a</w:t>
      </w:r>
      <w:r w:rsidRPr="008D45BF">
        <w:rPr>
          <w:sz w:val="18"/>
          <w:szCs w:val="18"/>
          <w:lang w:val="en-AU"/>
        </w:rPr>
        <w:t xml:space="preserve"> future survey could be considered </w:t>
      </w:r>
      <w:r>
        <w:rPr>
          <w:sz w:val="18"/>
          <w:szCs w:val="18"/>
          <w:lang w:val="en-AU"/>
        </w:rPr>
        <w:t xml:space="preserve">under the </w:t>
      </w:r>
      <w:r w:rsidRPr="00FD2307">
        <w:rPr>
          <w:sz w:val="18"/>
          <w:szCs w:val="18"/>
          <w:lang w:val="en-AU"/>
        </w:rPr>
        <w:t>Implementation Subcommittee for Food Regulation’s (ISFR’s) Coordinated Food Survey Plan.</w:t>
      </w:r>
    </w:p>
  </w:footnote>
  <w:footnote w:id="10">
    <w:p w14:paraId="4384431D" w14:textId="4CA689A0" w:rsidR="00462A77" w:rsidRPr="00462A77" w:rsidRDefault="00462A77">
      <w:pPr>
        <w:pStyle w:val="FootnoteText"/>
        <w:rPr>
          <w:sz w:val="18"/>
          <w:szCs w:val="18"/>
          <w:lang w:val="en-AU"/>
        </w:rPr>
      </w:pPr>
      <w:r w:rsidRPr="00462A77">
        <w:rPr>
          <w:rStyle w:val="FootnoteReference"/>
          <w:sz w:val="18"/>
          <w:szCs w:val="18"/>
        </w:rPr>
        <w:footnoteRef/>
      </w:r>
      <w:r w:rsidRPr="00462A77">
        <w:rPr>
          <w:sz w:val="18"/>
          <w:szCs w:val="18"/>
        </w:rPr>
        <w:t xml:space="preserve"> </w:t>
      </w:r>
      <w:r w:rsidRPr="00462A77">
        <w:rPr>
          <w:sz w:val="18"/>
          <w:szCs w:val="18"/>
          <w:lang w:val="en-AU"/>
        </w:rPr>
        <w:t xml:space="preserve">See FSANZ’s Consultation Paper </w:t>
      </w:r>
      <w:hyperlink r:id="rId6" w:history="1">
        <w:r w:rsidRPr="00462A77">
          <w:rPr>
            <w:rStyle w:val="Hyperlink"/>
            <w:sz w:val="18"/>
            <w:szCs w:val="18"/>
            <w:lang w:val="en-AU"/>
          </w:rPr>
          <w:t>http://www.foodstandards.gov.au/code/proposals/Documents/P1034-Packaging-Consult-CFS.pdf</w:t>
        </w:r>
      </w:hyperlink>
      <w:r w:rsidRPr="00462A77">
        <w:rPr>
          <w:sz w:val="18"/>
          <w:szCs w:val="18"/>
          <w:lang w:val="en-AU"/>
        </w:rPr>
        <w:t xml:space="preserve">  and respective SD5 – The Packaging Supply Chain. </w:t>
      </w:r>
      <w:hyperlink r:id="rId7" w:history="1">
        <w:r w:rsidRPr="00462A77">
          <w:rPr>
            <w:rStyle w:val="Hyperlink"/>
            <w:sz w:val="18"/>
            <w:szCs w:val="18"/>
            <w:lang w:val="en-AU"/>
          </w:rPr>
          <w:t>http://www.foodstandards.gov.au/code/proposals/Documents/P1034-Packaging-CFS-SD5.pdf</w:t>
        </w:r>
      </w:hyperlink>
    </w:p>
  </w:footnote>
  <w:footnote w:id="11">
    <w:p w14:paraId="11DF3965" w14:textId="43FA6F7C" w:rsidR="00462A77" w:rsidRPr="00462A77" w:rsidRDefault="00462A77">
      <w:pPr>
        <w:pStyle w:val="FootnoteText"/>
        <w:rPr>
          <w:sz w:val="18"/>
          <w:szCs w:val="18"/>
          <w:lang w:val="en-AU"/>
        </w:rPr>
      </w:pPr>
      <w:r w:rsidRPr="00462A77">
        <w:rPr>
          <w:rStyle w:val="FootnoteReference"/>
          <w:sz w:val="18"/>
          <w:szCs w:val="18"/>
        </w:rPr>
        <w:footnoteRef/>
      </w:r>
      <w:r w:rsidRPr="00462A77">
        <w:rPr>
          <w:sz w:val="18"/>
          <w:szCs w:val="18"/>
        </w:rPr>
        <w:t xml:space="preserve"> </w:t>
      </w:r>
      <w:r w:rsidRPr="00462A77">
        <w:rPr>
          <w:sz w:val="18"/>
          <w:szCs w:val="18"/>
          <w:lang w:val="en-AU"/>
        </w:rPr>
        <w:t xml:space="preserve">See FSANZ’s Consultation Paper SD7 - </w:t>
      </w:r>
      <w:r w:rsidRPr="00462A77">
        <w:rPr>
          <w:sz w:val="18"/>
          <w:szCs w:val="18"/>
        </w:rPr>
        <w:t xml:space="preserve">Industry standards, Codes of Practice and guidelines: </w:t>
      </w:r>
      <w:hyperlink r:id="rId8" w:history="1">
        <w:r w:rsidRPr="00462A77">
          <w:rPr>
            <w:rStyle w:val="Hyperlink"/>
            <w:sz w:val="18"/>
            <w:szCs w:val="18"/>
          </w:rPr>
          <w:t>http://www.foodstandards.gov.au/code/proposals/Documents/P1034-Packaging-CFS-SD7.pdf</w:t>
        </w:r>
      </w:hyperlink>
    </w:p>
  </w:footnote>
  <w:footnote w:id="12">
    <w:p w14:paraId="315B6A54" w14:textId="0971EFBF" w:rsidR="00462A77" w:rsidRPr="00462A77" w:rsidRDefault="00462A77">
      <w:pPr>
        <w:pStyle w:val="FootnoteText"/>
        <w:rPr>
          <w:sz w:val="18"/>
          <w:szCs w:val="18"/>
          <w:lang w:val="en-AU"/>
        </w:rPr>
      </w:pPr>
      <w:r w:rsidRPr="00462A77">
        <w:rPr>
          <w:rStyle w:val="FootnoteReference"/>
          <w:sz w:val="18"/>
          <w:szCs w:val="18"/>
        </w:rPr>
        <w:footnoteRef/>
      </w:r>
      <w:r w:rsidRPr="00462A77">
        <w:rPr>
          <w:sz w:val="18"/>
          <w:szCs w:val="18"/>
        </w:rPr>
        <w:t xml:space="preserve"> </w:t>
      </w:r>
      <w:hyperlink r:id="rId9" w:history="1">
        <w:r w:rsidRPr="00462A77">
          <w:rPr>
            <w:rStyle w:val="Hyperlink"/>
            <w:sz w:val="18"/>
            <w:szCs w:val="18"/>
          </w:rPr>
          <w:t>http://www.packagingcovenant.org.au/pages/about-apc.html</w:t>
        </w:r>
      </w:hyperlink>
    </w:p>
  </w:footnote>
  <w:footnote w:id="13">
    <w:p w14:paraId="7ED82DDB" w14:textId="1D7FF6B3" w:rsidR="00462A77" w:rsidRPr="00462A77" w:rsidRDefault="00462A77">
      <w:pPr>
        <w:pStyle w:val="FootnoteText"/>
        <w:rPr>
          <w:sz w:val="18"/>
          <w:szCs w:val="18"/>
          <w:lang w:val="en-AU"/>
        </w:rPr>
      </w:pPr>
      <w:r w:rsidRPr="00462A77">
        <w:rPr>
          <w:rStyle w:val="FootnoteReference"/>
          <w:sz w:val="18"/>
          <w:szCs w:val="18"/>
        </w:rPr>
        <w:footnoteRef/>
      </w:r>
      <w:r w:rsidRPr="00462A77">
        <w:rPr>
          <w:sz w:val="18"/>
          <w:szCs w:val="18"/>
        </w:rPr>
        <w:t xml:space="preserve"> The APC resource, </w:t>
      </w:r>
      <w:r w:rsidRPr="00462A77">
        <w:rPr>
          <w:i/>
          <w:iCs/>
          <w:sz w:val="18"/>
          <w:szCs w:val="18"/>
        </w:rPr>
        <w:t>Recycled Materials in Food Contact Applications</w:t>
      </w:r>
      <w:r w:rsidRPr="00462A77">
        <w:rPr>
          <w:sz w:val="18"/>
          <w:szCs w:val="18"/>
        </w:rPr>
        <w:t xml:space="preserve">, contains further information on this: </w:t>
      </w:r>
      <w:hyperlink r:id="rId10" w:history="1">
        <w:r w:rsidRPr="00462A77">
          <w:rPr>
            <w:rStyle w:val="Hyperlink"/>
            <w:sz w:val="18"/>
            <w:szCs w:val="18"/>
          </w:rPr>
          <w:t>http://www.packagingcovenant.org.au/data/Resources/Recycled_Materials_in_Food_Contact_Applications-FINAL-May-2014.pdf</w:t>
        </w:r>
      </w:hyperlink>
      <w:r w:rsidRPr="00462A77">
        <w:rPr>
          <w:sz w:val="18"/>
          <w:szCs w:val="18"/>
        </w:rPr>
        <w:t xml:space="preserve"> </w:t>
      </w:r>
    </w:p>
  </w:footnote>
  <w:footnote w:id="14">
    <w:p w14:paraId="7196FC1D" w14:textId="2BFA9119" w:rsidR="00462A77" w:rsidRPr="00462A77" w:rsidRDefault="00462A77" w:rsidP="006A49EA">
      <w:pPr>
        <w:pStyle w:val="FootnoteText"/>
        <w:rPr>
          <w:sz w:val="18"/>
          <w:szCs w:val="18"/>
          <w:lang w:val="en-AU"/>
        </w:rPr>
      </w:pPr>
      <w:r w:rsidRPr="00462A77">
        <w:rPr>
          <w:rStyle w:val="FootnoteReference"/>
          <w:sz w:val="18"/>
          <w:szCs w:val="18"/>
        </w:rPr>
        <w:footnoteRef/>
      </w:r>
      <w:r w:rsidRPr="00462A77">
        <w:rPr>
          <w:sz w:val="18"/>
          <w:szCs w:val="18"/>
        </w:rPr>
        <w:t xml:space="preserve"> Consultations were undertaken through advisory group meetings, phone interviews, surveys and responses to the Consultation Paper.</w:t>
      </w:r>
    </w:p>
  </w:footnote>
  <w:footnote w:id="15">
    <w:p w14:paraId="1B667406" w14:textId="59047435" w:rsidR="00462A77" w:rsidRPr="00822BA2" w:rsidRDefault="00462A77" w:rsidP="0024148B">
      <w:pPr>
        <w:pStyle w:val="FootnoteText"/>
        <w:rPr>
          <w:lang w:val="en-AU"/>
        </w:rPr>
      </w:pPr>
      <w:r w:rsidRPr="00462A77">
        <w:rPr>
          <w:rStyle w:val="FootnoteReference"/>
          <w:sz w:val="18"/>
          <w:szCs w:val="18"/>
        </w:rPr>
        <w:footnoteRef/>
      </w:r>
      <w:r w:rsidRPr="00462A77">
        <w:rPr>
          <w:sz w:val="18"/>
          <w:szCs w:val="18"/>
        </w:rPr>
        <w:t xml:space="preserve"> In this context, </w:t>
      </w:r>
      <w:r w:rsidRPr="00462A77">
        <w:rPr>
          <w:sz w:val="18"/>
          <w:szCs w:val="18"/>
          <w:lang w:val="en-AU"/>
        </w:rPr>
        <w:t xml:space="preserve">packaging businesses include raw material suppliers; packaging manufacturers and converters. </w:t>
      </w:r>
    </w:p>
  </w:footnote>
  <w:footnote w:id="16">
    <w:p w14:paraId="2E402AFA" w14:textId="3E6B1008" w:rsidR="00462A77" w:rsidRPr="00F50448" w:rsidRDefault="00462A77" w:rsidP="00462550">
      <w:pPr>
        <w:pStyle w:val="FootnoteText"/>
        <w:rPr>
          <w:sz w:val="18"/>
          <w:szCs w:val="18"/>
          <w:lang w:val="en-AU"/>
        </w:rPr>
      </w:pPr>
      <w:r w:rsidRPr="00822BA2">
        <w:rPr>
          <w:rStyle w:val="FootnoteReference"/>
        </w:rPr>
        <w:footnoteRef/>
      </w:r>
      <w:r w:rsidRPr="00822BA2">
        <w:t xml:space="preserve"> </w:t>
      </w:r>
      <w:r w:rsidRPr="00DC7F19">
        <w:rPr>
          <w:sz w:val="18"/>
          <w:szCs w:val="18"/>
        </w:rPr>
        <w:t>The manufacture of paper/paperboard and plastics together represent 66% of the market share of</w:t>
      </w:r>
      <w:r w:rsidRPr="000C0731">
        <w:t xml:space="preserve"> </w:t>
      </w:r>
      <w:r w:rsidRPr="00F50448">
        <w:rPr>
          <w:sz w:val="18"/>
          <w:szCs w:val="18"/>
        </w:rPr>
        <w:t>packaging materials. Two packaging manufacturers of paper/paperboard represent 95% of the market share in Australia and three manufacturers of plastic blow moulded products represent 80% of the market share in Australia.</w:t>
      </w:r>
    </w:p>
  </w:footnote>
  <w:footnote w:id="17">
    <w:p w14:paraId="4F597E77" w14:textId="425D471E" w:rsidR="00462A77" w:rsidRPr="003C4650" w:rsidRDefault="00462A77" w:rsidP="00462A77">
      <w:pPr>
        <w:rPr>
          <w:lang w:val="en-AU"/>
        </w:rPr>
      </w:pPr>
      <w:r w:rsidRPr="00F50448">
        <w:rPr>
          <w:rStyle w:val="FootnoteReference"/>
          <w:sz w:val="18"/>
          <w:szCs w:val="18"/>
        </w:rPr>
        <w:footnoteRef/>
      </w:r>
      <w:r w:rsidRPr="00F50448">
        <w:rPr>
          <w:sz w:val="18"/>
          <w:szCs w:val="18"/>
        </w:rPr>
        <w:t xml:space="preserve"> </w:t>
      </w:r>
      <w:r w:rsidRPr="00F50448">
        <w:rPr>
          <w:sz w:val="18"/>
          <w:szCs w:val="18"/>
          <w:lang w:val="en-AU"/>
        </w:rPr>
        <w:t>This outcome has been corroborated by a similar New Zealand packaging chemical survey carried out by the Ministry of Primary Industries (</w:t>
      </w:r>
      <w:r>
        <w:rPr>
          <w:sz w:val="18"/>
          <w:szCs w:val="18"/>
          <w:lang w:val="en-AU"/>
        </w:rPr>
        <w:t>B.</w:t>
      </w:r>
      <w:r w:rsidR="006E249E">
        <w:rPr>
          <w:sz w:val="18"/>
          <w:szCs w:val="18"/>
          <w:lang w:val="en-AU"/>
        </w:rPr>
        <w:t xml:space="preserve"> </w:t>
      </w:r>
      <w:r>
        <w:rPr>
          <w:sz w:val="18"/>
          <w:szCs w:val="18"/>
          <w:lang w:val="en-AU"/>
        </w:rPr>
        <w:t>Butow (FSANZ), 03/03 2016, pers</w:t>
      </w:r>
      <w:r w:rsidRPr="00F50448">
        <w:rPr>
          <w:sz w:val="18"/>
          <w:szCs w:val="18"/>
          <w:lang w:val="en-AU"/>
        </w:rPr>
        <w:t xml:space="preserve"> comm</w:t>
      </w:r>
      <w:r>
        <w:rPr>
          <w:sz w:val="18"/>
          <w:szCs w:val="18"/>
          <w:lang w:val="en-AU"/>
        </w:rPr>
        <w:t>.</w:t>
      </w:r>
      <w:r w:rsidRPr="00F50448">
        <w:rPr>
          <w:sz w:val="18"/>
          <w:szCs w:val="18"/>
          <w:lang w:val="en-AU"/>
        </w:rPr>
        <w:t xml:space="preserve">). </w:t>
      </w:r>
      <w:bookmarkStart w:id="43" w:name="_GoBack"/>
      <w:bookmarkEnd w:id="43"/>
    </w:p>
  </w:footnote>
  <w:footnote w:id="18">
    <w:p w14:paraId="0CBF5814" w14:textId="77777777" w:rsidR="00462A77" w:rsidRPr="00F50448" w:rsidRDefault="00462A77" w:rsidP="0001657B">
      <w:pPr>
        <w:pStyle w:val="FootnoteText"/>
        <w:rPr>
          <w:sz w:val="18"/>
          <w:szCs w:val="18"/>
          <w:lang w:val="en-AU"/>
        </w:rPr>
      </w:pPr>
      <w:r w:rsidRPr="00F50448">
        <w:rPr>
          <w:rStyle w:val="FootnoteReference"/>
          <w:sz w:val="18"/>
          <w:szCs w:val="18"/>
        </w:rPr>
        <w:footnoteRef/>
      </w:r>
      <w:r w:rsidRPr="00F50448">
        <w:rPr>
          <w:sz w:val="18"/>
          <w:szCs w:val="18"/>
        </w:rPr>
        <w:t xml:space="preserve"> </w:t>
      </w:r>
      <w:r w:rsidRPr="00F50448">
        <w:rPr>
          <w:sz w:val="18"/>
          <w:szCs w:val="18"/>
          <w:lang w:val="en-AU"/>
        </w:rPr>
        <w:t xml:space="preserve">Refer to Submissions to the Consultation Paper: </w:t>
      </w:r>
      <w:hyperlink r:id="rId11" w:history="1">
        <w:r w:rsidRPr="00F50448">
          <w:rPr>
            <w:rStyle w:val="Hyperlink"/>
            <w:sz w:val="18"/>
            <w:szCs w:val="18"/>
            <w:lang w:val="en-AU"/>
          </w:rPr>
          <w:t>http://www.foodstandards.gov.au/code/proposals/Pages/P1034ChemicalMigrationfromPackagingintoFood.aspx</w:t>
        </w:r>
      </w:hyperlink>
    </w:p>
  </w:footnote>
  <w:footnote w:id="19">
    <w:p w14:paraId="7B5F6B53" w14:textId="77777777" w:rsidR="00462A77" w:rsidRPr="00B536C6" w:rsidRDefault="00462A77" w:rsidP="002C67B1">
      <w:pPr>
        <w:pStyle w:val="FootnoteText"/>
        <w:rPr>
          <w:lang w:val="en-AU"/>
        </w:rPr>
      </w:pPr>
      <w:r>
        <w:rPr>
          <w:rStyle w:val="FootnoteReference"/>
        </w:rPr>
        <w:footnoteRef/>
      </w:r>
      <w:hyperlink r:id="rId12" w:history="1">
        <w:r w:rsidRPr="00EC590D">
          <w:rPr>
            <w:rStyle w:val="Hyperlink"/>
          </w:rPr>
          <w:t>http://www.foodstandards.gov.au/code/proposals/Pages/P1034ChemicalMigrationfromPackagingintoFood.aspx</w:t>
        </w:r>
      </w:hyperlink>
    </w:p>
  </w:footnote>
  <w:footnote w:id="20">
    <w:p w14:paraId="2B6B3AFE" w14:textId="2CC8E81B" w:rsidR="00462A77" w:rsidRPr="00811C0B" w:rsidRDefault="00462A77" w:rsidP="00811C0B">
      <w:pPr>
        <w:pStyle w:val="FootnoteText"/>
        <w:ind w:right="-428"/>
        <w:rPr>
          <w:sz w:val="18"/>
          <w:szCs w:val="18"/>
          <w:lang w:val="en-AU"/>
        </w:rPr>
      </w:pPr>
      <w:r w:rsidRPr="00811C0B">
        <w:rPr>
          <w:rStyle w:val="FootnoteReference"/>
          <w:sz w:val="18"/>
          <w:szCs w:val="18"/>
        </w:rPr>
        <w:footnoteRef/>
      </w:r>
      <w:r w:rsidRPr="00811C0B">
        <w:rPr>
          <w:sz w:val="18"/>
          <w:szCs w:val="18"/>
        </w:rPr>
        <w:t xml:space="preserve">  </w:t>
      </w:r>
      <w:hyperlink r:id="rId13" w:history="1">
        <w:r w:rsidRPr="00811C0B">
          <w:rPr>
            <w:color w:val="0000FF" w:themeColor="hyperlink"/>
            <w:sz w:val="18"/>
            <w:szCs w:val="18"/>
            <w:u w:val="single"/>
            <w:lang w:val="en-AU"/>
          </w:rPr>
          <w:t>https://www.fsai.ie/food_businesses/food_safety_training/online.html</w:t>
        </w:r>
      </w:hyperlink>
      <w:r w:rsidRPr="00811C0B">
        <w:rPr>
          <w:sz w:val="18"/>
          <w:szCs w:val="18"/>
        </w:rPr>
        <w:t xml:space="preserve"> and </w:t>
      </w:r>
      <w:hyperlink r:id="rId14" w:history="1">
        <w:r w:rsidRPr="00811C0B">
          <w:rPr>
            <w:color w:val="0000FF" w:themeColor="hyperlink"/>
            <w:sz w:val="18"/>
            <w:szCs w:val="18"/>
            <w:u w:val="single"/>
          </w:rPr>
          <w:t>https://www.fsai.ie/training/fcm/story.html</w:t>
        </w:r>
      </w:hyperlink>
    </w:p>
  </w:footnote>
  <w:footnote w:id="21">
    <w:p w14:paraId="602C43A5" w14:textId="77777777" w:rsidR="00462A77" w:rsidRPr="00811C0B" w:rsidRDefault="00462A77" w:rsidP="00622130">
      <w:pPr>
        <w:pStyle w:val="FootnoteText"/>
        <w:rPr>
          <w:sz w:val="18"/>
          <w:szCs w:val="18"/>
        </w:rPr>
      </w:pPr>
      <w:r w:rsidRPr="00811C0B">
        <w:rPr>
          <w:rStyle w:val="FootnoteReference"/>
          <w:sz w:val="18"/>
          <w:szCs w:val="18"/>
        </w:rPr>
        <w:footnoteRef/>
      </w:r>
      <w:r w:rsidRPr="00811C0B">
        <w:rPr>
          <w:sz w:val="18"/>
          <w:szCs w:val="18"/>
        </w:rPr>
        <w:t xml:space="preserve"> </w:t>
      </w:r>
      <w:hyperlink r:id="rId15" w:history="1">
        <w:r w:rsidRPr="00811C0B">
          <w:rPr>
            <w:rStyle w:val="Hyperlink"/>
            <w:sz w:val="18"/>
            <w:szCs w:val="18"/>
          </w:rPr>
          <w:t>http://www.foodstandards.gov.au/code/proposals/Documents/P1034-Packaging-CFS-SD7.pdf</w:t>
        </w:r>
      </w:hyperlink>
    </w:p>
  </w:footnote>
  <w:footnote w:id="22">
    <w:p w14:paraId="1D2BF353" w14:textId="069CE109" w:rsidR="00462A77" w:rsidRPr="00811C0B" w:rsidRDefault="00462A77" w:rsidP="00622130">
      <w:pPr>
        <w:pStyle w:val="FootnoteText"/>
        <w:rPr>
          <w:sz w:val="18"/>
          <w:szCs w:val="18"/>
        </w:rPr>
      </w:pPr>
      <w:r w:rsidRPr="00811C0B">
        <w:rPr>
          <w:rStyle w:val="FootnoteReference"/>
          <w:sz w:val="18"/>
          <w:szCs w:val="18"/>
        </w:rPr>
        <w:footnoteRef/>
      </w:r>
      <w:r w:rsidRPr="00811C0B">
        <w:rPr>
          <w:sz w:val="18"/>
          <w:szCs w:val="18"/>
        </w:rPr>
        <w:t xml:space="preserve"> </w:t>
      </w:r>
      <w:hyperlink r:id="rId16" w:history="1">
        <w:r w:rsidRPr="00811C0B">
          <w:rPr>
            <w:rStyle w:val="Hyperlink"/>
            <w:sz w:val="18"/>
            <w:szCs w:val="18"/>
          </w:rPr>
          <w:t>http://www.afgc.org.au/publications/product-identification-form-pif/</w:t>
        </w:r>
      </w:hyperlink>
      <w:r w:rsidRPr="00811C0B">
        <w:rPr>
          <w:rStyle w:val="Hyperlink"/>
          <w:sz w:val="18"/>
          <w:szCs w:val="18"/>
        </w:rPr>
        <w:t xml:space="preserve"> </w:t>
      </w:r>
      <w:r w:rsidRPr="00811C0B">
        <w:rPr>
          <w:rStyle w:val="Hyperlink"/>
          <w:sz w:val="18"/>
          <w:szCs w:val="18"/>
          <w:u w:val="none"/>
        </w:rPr>
        <w:t>(see section 6.6.2)</w:t>
      </w:r>
    </w:p>
  </w:footnote>
  <w:footnote w:id="23">
    <w:p w14:paraId="3A227D96" w14:textId="77777777" w:rsidR="00462A77" w:rsidRPr="00811C0B" w:rsidRDefault="00462A77" w:rsidP="00622130">
      <w:pPr>
        <w:pStyle w:val="FootnoteText"/>
        <w:rPr>
          <w:sz w:val="18"/>
          <w:szCs w:val="18"/>
        </w:rPr>
      </w:pPr>
      <w:r w:rsidRPr="00811C0B">
        <w:rPr>
          <w:rStyle w:val="FootnoteReference"/>
          <w:sz w:val="18"/>
          <w:szCs w:val="18"/>
        </w:rPr>
        <w:footnoteRef/>
      </w:r>
      <w:r w:rsidRPr="00811C0B">
        <w:rPr>
          <w:sz w:val="18"/>
          <w:szCs w:val="18"/>
        </w:rPr>
        <w:t xml:space="preserve"> </w:t>
      </w:r>
      <w:hyperlink r:id="rId17" w:history="1">
        <w:r w:rsidRPr="00811C0B">
          <w:rPr>
            <w:rStyle w:val="Hyperlink"/>
            <w:sz w:val="18"/>
            <w:szCs w:val="18"/>
          </w:rPr>
          <w:t>http://www.packaging.org.nz/index.php/sustainability/code-of-practice/</w:t>
        </w:r>
      </w:hyperlink>
    </w:p>
  </w:footnote>
  <w:footnote w:id="24">
    <w:p w14:paraId="5838B371" w14:textId="77777777" w:rsidR="00462A77" w:rsidRPr="00811C0B" w:rsidRDefault="00462A77" w:rsidP="00622130">
      <w:pPr>
        <w:pStyle w:val="FootnoteText"/>
        <w:rPr>
          <w:sz w:val="18"/>
          <w:szCs w:val="18"/>
          <w:lang w:val="en-AU"/>
        </w:rPr>
      </w:pPr>
      <w:r w:rsidRPr="00811C0B">
        <w:rPr>
          <w:rStyle w:val="FootnoteReference"/>
          <w:sz w:val="18"/>
          <w:szCs w:val="18"/>
        </w:rPr>
        <w:footnoteRef/>
      </w:r>
      <w:r w:rsidRPr="00811C0B">
        <w:rPr>
          <w:sz w:val="18"/>
          <w:szCs w:val="18"/>
        </w:rPr>
        <w:t xml:space="preserve"> </w:t>
      </w:r>
      <w:r w:rsidRPr="00811C0B">
        <w:rPr>
          <w:rStyle w:val="Hyperlink"/>
          <w:sz w:val="18"/>
          <w:szCs w:val="18"/>
        </w:rPr>
        <w:t>http://</w:t>
      </w:r>
      <w:r w:rsidRPr="00811C0B">
        <w:rPr>
          <w:rStyle w:val="Hyperlink"/>
          <w:b/>
          <w:sz w:val="18"/>
          <w:szCs w:val="18"/>
        </w:rPr>
        <w:t>www</w:t>
      </w:r>
      <w:r w:rsidRPr="00811C0B">
        <w:rPr>
          <w:rStyle w:val="Hyperlink"/>
          <w:sz w:val="18"/>
          <w:szCs w:val="18"/>
        </w:rPr>
        <w:t>.packagingcovenant.org.au/</w:t>
      </w:r>
    </w:p>
  </w:footnote>
  <w:footnote w:id="25">
    <w:p w14:paraId="0D455C0C" w14:textId="2290EE19" w:rsidR="00462A77" w:rsidRPr="00EB6117" w:rsidRDefault="00462A77" w:rsidP="00622130">
      <w:pPr>
        <w:widowControl/>
        <w:contextualSpacing/>
        <w:rPr>
          <w:sz w:val="18"/>
          <w:szCs w:val="18"/>
        </w:rPr>
      </w:pPr>
      <w:r w:rsidRPr="00811C0B">
        <w:rPr>
          <w:rStyle w:val="FootnoteReference"/>
          <w:sz w:val="18"/>
          <w:szCs w:val="18"/>
        </w:rPr>
        <w:footnoteRef/>
      </w:r>
      <w:hyperlink r:id="rId18" w:history="1">
        <w:r w:rsidRPr="00811C0B">
          <w:rPr>
            <w:rStyle w:val="Hyperlink"/>
            <w:sz w:val="18"/>
            <w:szCs w:val="18"/>
          </w:rPr>
          <w:t>http://www.packagingcovenant.org.au/data/Resources/Recycled_Materials_in_Food_Contact_Applications-FINAL-May-2014.pdf</w:t>
        </w:r>
      </w:hyperlink>
    </w:p>
  </w:footnote>
  <w:footnote w:id="26">
    <w:p w14:paraId="2C19A0F9" w14:textId="6F592F2C" w:rsidR="00462A77" w:rsidRPr="0024448E" w:rsidRDefault="00462A77" w:rsidP="00D34930">
      <w:pPr>
        <w:pStyle w:val="FootnoteText"/>
        <w:rPr>
          <w:sz w:val="18"/>
          <w:szCs w:val="18"/>
          <w:lang w:val="en-AU"/>
        </w:rPr>
      </w:pPr>
      <w:r w:rsidRPr="00EB6117">
        <w:rPr>
          <w:rStyle w:val="FootnoteReference"/>
          <w:sz w:val="18"/>
          <w:szCs w:val="18"/>
        </w:rPr>
        <w:footnoteRef/>
      </w:r>
      <w:r w:rsidRPr="00EB6117">
        <w:rPr>
          <w:sz w:val="18"/>
          <w:szCs w:val="18"/>
        </w:rPr>
        <w:t xml:space="preserve"> Businesses must declare any identified safety issues with food packaging. A breach of the relevant provisions </w:t>
      </w:r>
      <w:r w:rsidRPr="00E62E68">
        <w:rPr>
          <w:sz w:val="18"/>
          <w:szCs w:val="18"/>
        </w:rPr>
        <w:t xml:space="preserve">(which are set out in sections 12 A to 12 D of the </w:t>
      </w:r>
      <w:r w:rsidRPr="00E62E68">
        <w:rPr>
          <w:i/>
          <w:sz w:val="18"/>
          <w:szCs w:val="18"/>
        </w:rPr>
        <w:t>Fair Trading Act 1986</w:t>
      </w:r>
      <w:r w:rsidRPr="00E62E68">
        <w:rPr>
          <w:sz w:val="18"/>
          <w:szCs w:val="18"/>
        </w:rPr>
        <w:t xml:space="preserve"> (NZ)) is a criminal offence and can result in a fine on </w:t>
      </w:r>
      <w:r w:rsidRPr="0024448E">
        <w:rPr>
          <w:sz w:val="18"/>
          <w:szCs w:val="18"/>
        </w:rPr>
        <w:t>conviction of up to $600,000 for a company or up to $200,000 for an individual</w:t>
      </w:r>
    </w:p>
  </w:footnote>
  <w:footnote w:id="27">
    <w:p w14:paraId="3D505297" w14:textId="71534B1F" w:rsidR="00462A77" w:rsidRPr="00811C0B" w:rsidRDefault="00462A77">
      <w:pPr>
        <w:pStyle w:val="FootnoteText"/>
        <w:rPr>
          <w:sz w:val="18"/>
          <w:szCs w:val="18"/>
          <w:lang w:val="en-AU"/>
        </w:rPr>
      </w:pPr>
      <w:r w:rsidRPr="00811C0B">
        <w:rPr>
          <w:rStyle w:val="FootnoteReference"/>
          <w:sz w:val="18"/>
          <w:szCs w:val="18"/>
        </w:rPr>
        <w:footnoteRef/>
      </w:r>
      <w:r w:rsidRPr="00811C0B">
        <w:rPr>
          <w:sz w:val="18"/>
          <w:szCs w:val="18"/>
        </w:rPr>
        <w:t xml:space="preserve"> </w:t>
      </w:r>
      <w:r w:rsidRPr="00811C0B">
        <w:rPr>
          <w:sz w:val="18"/>
          <w:szCs w:val="18"/>
          <w:lang w:val="en-AU"/>
        </w:rPr>
        <w:t xml:space="preserve">These public health and safety concerns are chronic in nature and FSANZ is undertaking a follow up survey to characterise the risk further. </w:t>
      </w:r>
    </w:p>
  </w:footnote>
  <w:footnote w:id="28">
    <w:p w14:paraId="25DD00F5" w14:textId="061E5FC6" w:rsidR="00462A77" w:rsidRPr="00353768" w:rsidRDefault="00462A77">
      <w:pPr>
        <w:pStyle w:val="FootnoteText"/>
        <w:rPr>
          <w:lang w:val="en-AU"/>
        </w:rPr>
      </w:pPr>
      <w:r w:rsidRPr="00811C0B">
        <w:rPr>
          <w:rStyle w:val="FootnoteReference"/>
          <w:sz w:val="18"/>
          <w:szCs w:val="18"/>
        </w:rPr>
        <w:footnoteRef/>
      </w:r>
      <w:r w:rsidRPr="00811C0B">
        <w:rPr>
          <w:sz w:val="18"/>
          <w:szCs w:val="18"/>
        </w:rPr>
        <w:t xml:space="preserve"> </w:t>
      </w:r>
      <w:hyperlink r:id="rId19" w:history="1">
        <w:r w:rsidR="00811C0B" w:rsidRPr="00811C0B">
          <w:rPr>
            <w:rStyle w:val="Hyperlink"/>
            <w:sz w:val="18"/>
            <w:szCs w:val="18"/>
          </w:rPr>
          <w:t>http://www.health.gov.au/internet/main/publishing.nsf/Content/foodsecretariat-isc9.htm</w:t>
        </w:r>
      </w:hyperlink>
      <w:r w:rsidR="00811C0B" w:rsidRPr="00811C0B">
        <w:rPr>
          <w:sz w:val="18"/>
          <w:szCs w:val="18"/>
        </w:rPr>
        <w:t xml:space="preserve"> </w:t>
      </w:r>
    </w:p>
  </w:footnote>
  <w:footnote w:id="29">
    <w:p w14:paraId="10711B55" w14:textId="56F2D3D1" w:rsidR="00462A77" w:rsidRPr="00984F62" w:rsidRDefault="00462A77">
      <w:pPr>
        <w:pStyle w:val="FootnoteText"/>
        <w:rPr>
          <w:sz w:val="18"/>
          <w:szCs w:val="18"/>
          <w:lang w:val="en-AU"/>
        </w:rPr>
      </w:pPr>
      <w:r>
        <w:rPr>
          <w:rStyle w:val="FootnoteReference"/>
        </w:rPr>
        <w:footnoteRef/>
      </w:r>
      <w:hyperlink r:id="rId20" w:history="1">
        <w:r w:rsidRPr="00984F62">
          <w:rPr>
            <w:rStyle w:val="Hyperlink"/>
            <w:sz w:val="18"/>
            <w:szCs w:val="18"/>
          </w:rPr>
          <w:t>http://www.contactalimentaire.com/fileadmin/ImageFichier_Archive/contact_alimentaire/Fichiers_Documents/guide/guidance_reg-10-2011_en.pdf</w:t>
        </w:r>
      </w:hyperlink>
    </w:p>
  </w:footnote>
  <w:footnote w:id="30">
    <w:p w14:paraId="22FDC937" w14:textId="7FB661BC" w:rsidR="00462A77" w:rsidRPr="00984F62" w:rsidRDefault="00462A77" w:rsidP="001B77B3">
      <w:pPr>
        <w:pStyle w:val="FootnoteText"/>
        <w:rPr>
          <w:sz w:val="18"/>
          <w:szCs w:val="18"/>
          <w:lang w:val="en-AU"/>
        </w:rPr>
      </w:pPr>
      <w:r w:rsidRPr="003C2EAF">
        <w:rPr>
          <w:rStyle w:val="FootnoteReference"/>
          <w:sz w:val="18"/>
          <w:szCs w:val="18"/>
        </w:rPr>
        <w:footnoteRef/>
      </w:r>
      <w:r w:rsidRPr="00DE59B5">
        <w:rPr>
          <w:sz w:val="18"/>
          <w:szCs w:val="18"/>
        </w:rPr>
        <w:t xml:space="preserve"> </w:t>
      </w:r>
      <w:r w:rsidRPr="00B9479E">
        <w:rPr>
          <w:sz w:val="18"/>
          <w:szCs w:val="18"/>
          <w:lang w:val="en-AU"/>
        </w:rPr>
        <w:t xml:space="preserve">The OBPR has advised FSANZ that </w:t>
      </w:r>
      <w:r w:rsidRPr="00A31090">
        <w:rPr>
          <w:sz w:val="18"/>
          <w:szCs w:val="18"/>
          <w:lang w:val="en-AU"/>
        </w:rPr>
        <w:t>it</w:t>
      </w:r>
      <w:r w:rsidRPr="00CB4DD3">
        <w:rPr>
          <w:sz w:val="18"/>
          <w:szCs w:val="18"/>
          <w:lang w:val="en-AU"/>
        </w:rPr>
        <w:t xml:space="preserve"> also views guidelines as a prescriptive measure</w:t>
      </w:r>
    </w:p>
  </w:footnote>
  <w:footnote w:id="31">
    <w:p w14:paraId="0F6F4351" w14:textId="1C2D48AC" w:rsidR="00462A77" w:rsidRPr="00990832" w:rsidRDefault="00462A77" w:rsidP="00990832">
      <w:pPr>
        <w:pStyle w:val="FootnoteText"/>
        <w:rPr>
          <w:sz w:val="18"/>
          <w:szCs w:val="18"/>
          <w:lang w:val="en-AU"/>
        </w:rPr>
      </w:pPr>
      <w:r w:rsidRPr="00990832">
        <w:rPr>
          <w:rStyle w:val="FootnoteReference"/>
          <w:sz w:val="18"/>
          <w:szCs w:val="18"/>
        </w:rPr>
        <w:footnoteRef/>
      </w:r>
      <w:r w:rsidRPr="00990832">
        <w:rPr>
          <w:sz w:val="18"/>
          <w:szCs w:val="18"/>
        </w:rPr>
        <w:t xml:space="preserve"> </w:t>
      </w:r>
      <w:r w:rsidRPr="00990832">
        <w:rPr>
          <w:sz w:val="18"/>
          <w:szCs w:val="18"/>
          <w:lang w:val="en-AU"/>
        </w:rPr>
        <w:t>FSANZ understands that in New Zealand the Food Act does not currently cover those who manufacture packaging; the primary responsibility placed by the Act is on the food trader.</w:t>
      </w:r>
    </w:p>
  </w:footnote>
  <w:footnote w:id="32">
    <w:p w14:paraId="3A7627D5" w14:textId="77777777" w:rsidR="00462A77" w:rsidRPr="00C80FAB" w:rsidRDefault="00462A77" w:rsidP="00990832">
      <w:pPr>
        <w:pStyle w:val="FootnoteText"/>
        <w:rPr>
          <w:lang w:val="en-AU"/>
        </w:rPr>
      </w:pPr>
      <w:r w:rsidRPr="00990832">
        <w:rPr>
          <w:rStyle w:val="FootnoteReference"/>
          <w:sz w:val="18"/>
          <w:szCs w:val="18"/>
        </w:rPr>
        <w:footnoteRef/>
      </w:r>
      <w:r w:rsidRPr="00990832">
        <w:rPr>
          <w:sz w:val="18"/>
          <w:szCs w:val="18"/>
        </w:rPr>
        <w:t xml:space="preserve"> </w:t>
      </w:r>
      <w:r w:rsidRPr="00990832">
        <w:rPr>
          <w:sz w:val="18"/>
          <w:szCs w:val="18"/>
          <w:lang w:val="en-AU"/>
        </w:rPr>
        <w:t>Section 16 of the FSANZ Act lists the matters on which FSANZ can make standards.</w:t>
      </w:r>
    </w:p>
  </w:footnote>
  <w:footnote w:id="33">
    <w:p w14:paraId="1D4E5004" w14:textId="77777777" w:rsidR="00462A77" w:rsidRPr="00372F39" w:rsidRDefault="00462A77" w:rsidP="005A6791">
      <w:pPr>
        <w:pStyle w:val="FootnoteText"/>
        <w:rPr>
          <w:lang w:val="en-AU"/>
        </w:rPr>
      </w:pPr>
      <w:r w:rsidRPr="00E700B2">
        <w:rPr>
          <w:rStyle w:val="FootnoteReference"/>
          <w:sz w:val="18"/>
          <w:szCs w:val="18"/>
        </w:rPr>
        <w:footnoteRef/>
      </w:r>
      <w:r w:rsidRPr="00E700B2">
        <w:rPr>
          <w:sz w:val="18"/>
          <w:szCs w:val="18"/>
        </w:rPr>
        <w:t xml:space="preserve"> </w:t>
      </w:r>
      <w:hyperlink r:id="rId21" w:history="1">
        <w:r w:rsidRPr="00862246">
          <w:rPr>
            <w:rStyle w:val="Hyperlink"/>
            <w:rFonts w:cs="Arial"/>
            <w:sz w:val="18"/>
            <w:szCs w:val="18"/>
            <w:lang w:eastAsia="en-GB" w:bidi="ar-SA"/>
          </w:rPr>
          <w:t>http://www.fao.org/fileadmin/user_upload/agns/pdf/CXS_193e.pdf</w:t>
        </w:r>
      </w:hyperlink>
    </w:p>
  </w:footnote>
  <w:footnote w:id="34">
    <w:p w14:paraId="60607953" w14:textId="77777777" w:rsidR="00462A77" w:rsidRPr="00372F39" w:rsidRDefault="00462A77" w:rsidP="005A6791">
      <w:pPr>
        <w:pStyle w:val="FootnoteText"/>
        <w:rPr>
          <w:lang w:val="en-AU"/>
        </w:rPr>
      </w:pPr>
      <w:r>
        <w:rPr>
          <w:rStyle w:val="FootnoteReference"/>
        </w:rPr>
        <w:footnoteRef/>
      </w:r>
      <w:r>
        <w:t xml:space="preserve"> </w:t>
      </w:r>
      <w:hyperlink r:id="rId22" w:history="1">
        <w:r w:rsidRPr="000342DF">
          <w:rPr>
            <w:rStyle w:val="Hyperlink"/>
            <w:rFonts w:cs="Arial"/>
            <w:sz w:val="18"/>
            <w:szCs w:val="18"/>
            <w:lang w:eastAsia="en-GB" w:bidi="ar-SA"/>
          </w:rPr>
          <w:t>http://www.mhlw.go.jp/english/topics/importedfoods/guideline/dl/04.pdf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8C3FB" w14:textId="77777777" w:rsidR="00462A77" w:rsidRDefault="00462A7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0C9057EA"/>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D02EC8"/>
    <w:multiLevelType w:val="hybridMultilevel"/>
    <w:tmpl w:val="C2920C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8B3656C"/>
    <w:multiLevelType w:val="multilevel"/>
    <w:tmpl w:val="6248BF18"/>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3E428C"/>
    <w:multiLevelType w:val="hybridMultilevel"/>
    <w:tmpl w:val="55B8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5B0858"/>
    <w:multiLevelType w:val="hybridMultilevel"/>
    <w:tmpl w:val="A32E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B0334E"/>
    <w:multiLevelType w:val="hybridMultilevel"/>
    <w:tmpl w:val="7800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5F6FD1"/>
    <w:multiLevelType w:val="hybridMultilevel"/>
    <w:tmpl w:val="990C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484C6B"/>
    <w:multiLevelType w:val="hybridMultilevel"/>
    <w:tmpl w:val="CACC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1633EF"/>
    <w:multiLevelType w:val="hybridMultilevel"/>
    <w:tmpl w:val="E272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2B00A64"/>
    <w:multiLevelType w:val="hybridMultilevel"/>
    <w:tmpl w:val="B0C8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4769CF"/>
    <w:multiLevelType w:val="multilevel"/>
    <w:tmpl w:val="E49E373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3D31A6"/>
    <w:multiLevelType w:val="hybridMultilevel"/>
    <w:tmpl w:val="B8A4F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41272D"/>
    <w:multiLevelType w:val="hybridMultilevel"/>
    <w:tmpl w:val="01E0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E83CF8"/>
    <w:multiLevelType w:val="hybridMultilevel"/>
    <w:tmpl w:val="4F50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4206B0"/>
    <w:multiLevelType w:val="hybridMultilevel"/>
    <w:tmpl w:val="6D9A100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7CC2A21"/>
    <w:multiLevelType w:val="hybridMultilevel"/>
    <w:tmpl w:val="E478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BD0B81"/>
    <w:multiLevelType w:val="hybridMultilevel"/>
    <w:tmpl w:val="522492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7D08669E"/>
    <w:multiLevelType w:val="hybridMultilevel"/>
    <w:tmpl w:val="FA2E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0"/>
  </w:num>
  <w:num w:numId="8">
    <w:abstractNumId w:val="2"/>
  </w:num>
  <w:num w:numId="9">
    <w:abstractNumId w:val="22"/>
  </w:num>
  <w:num w:numId="10">
    <w:abstractNumId w:val="8"/>
  </w:num>
  <w:num w:numId="11">
    <w:abstractNumId w:val="14"/>
  </w:num>
  <w:num w:numId="12">
    <w:abstractNumId w:val="3"/>
  </w:num>
  <w:num w:numId="13">
    <w:abstractNumId w:val="21"/>
  </w:num>
  <w:num w:numId="14">
    <w:abstractNumId w:val="4"/>
  </w:num>
  <w:num w:numId="15">
    <w:abstractNumId w:val="23"/>
  </w:num>
  <w:num w:numId="16">
    <w:abstractNumId w:val="10"/>
  </w:num>
  <w:num w:numId="17">
    <w:abstractNumId w:val="17"/>
  </w:num>
  <w:num w:numId="18">
    <w:abstractNumId w:val="6"/>
  </w:num>
  <w:num w:numId="19">
    <w:abstractNumId w:val="12"/>
  </w:num>
  <w:num w:numId="20">
    <w:abstractNumId w:val="15"/>
  </w:num>
  <w:num w:numId="21">
    <w:abstractNumId w:val="16"/>
  </w:num>
  <w:num w:numId="22">
    <w:abstractNumId w:val="9"/>
  </w:num>
  <w:num w:numId="23">
    <w:abstractNumId w:val="18"/>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D9A"/>
    <w:rsid w:val="00004274"/>
    <w:rsid w:val="00004285"/>
    <w:rsid w:val="00004418"/>
    <w:rsid w:val="0000469B"/>
    <w:rsid w:val="000048D4"/>
    <w:rsid w:val="00006FEA"/>
    <w:rsid w:val="00007BEA"/>
    <w:rsid w:val="0001018E"/>
    <w:rsid w:val="000104A3"/>
    <w:rsid w:val="00014437"/>
    <w:rsid w:val="0001657B"/>
    <w:rsid w:val="00016CB6"/>
    <w:rsid w:val="000172CA"/>
    <w:rsid w:val="00017E2D"/>
    <w:rsid w:val="00020319"/>
    <w:rsid w:val="00020349"/>
    <w:rsid w:val="000208D7"/>
    <w:rsid w:val="00022DBC"/>
    <w:rsid w:val="00023496"/>
    <w:rsid w:val="0002623F"/>
    <w:rsid w:val="000306C5"/>
    <w:rsid w:val="00031393"/>
    <w:rsid w:val="00031406"/>
    <w:rsid w:val="00032EDC"/>
    <w:rsid w:val="00034F87"/>
    <w:rsid w:val="00035FF3"/>
    <w:rsid w:val="0003650E"/>
    <w:rsid w:val="000374AE"/>
    <w:rsid w:val="00040840"/>
    <w:rsid w:val="000413BE"/>
    <w:rsid w:val="000413C4"/>
    <w:rsid w:val="000427B2"/>
    <w:rsid w:val="000435FB"/>
    <w:rsid w:val="00044121"/>
    <w:rsid w:val="00051021"/>
    <w:rsid w:val="00051ED9"/>
    <w:rsid w:val="000564DE"/>
    <w:rsid w:val="00057181"/>
    <w:rsid w:val="0006252F"/>
    <w:rsid w:val="00063E81"/>
    <w:rsid w:val="00064B2D"/>
    <w:rsid w:val="00065F1F"/>
    <w:rsid w:val="00067BCD"/>
    <w:rsid w:val="00070C65"/>
    <w:rsid w:val="00071481"/>
    <w:rsid w:val="0007466A"/>
    <w:rsid w:val="00076D33"/>
    <w:rsid w:val="000773B0"/>
    <w:rsid w:val="000778D6"/>
    <w:rsid w:val="000815E6"/>
    <w:rsid w:val="000827F0"/>
    <w:rsid w:val="00082852"/>
    <w:rsid w:val="0008370D"/>
    <w:rsid w:val="000840B1"/>
    <w:rsid w:val="00091CC2"/>
    <w:rsid w:val="00093253"/>
    <w:rsid w:val="00095A42"/>
    <w:rsid w:val="00096FA5"/>
    <w:rsid w:val="000A27E9"/>
    <w:rsid w:val="000A2CCE"/>
    <w:rsid w:val="000A3D8B"/>
    <w:rsid w:val="000A5DF8"/>
    <w:rsid w:val="000B0691"/>
    <w:rsid w:val="000B0AFF"/>
    <w:rsid w:val="000B3C01"/>
    <w:rsid w:val="000B47F8"/>
    <w:rsid w:val="000B5721"/>
    <w:rsid w:val="000B6AF2"/>
    <w:rsid w:val="000B750A"/>
    <w:rsid w:val="000C0731"/>
    <w:rsid w:val="000C1C57"/>
    <w:rsid w:val="000C242D"/>
    <w:rsid w:val="000D04A2"/>
    <w:rsid w:val="000D1F3E"/>
    <w:rsid w:val="000D2285"/>
    <w:rsid w:val="000D245E"/>
    <w:rsid w:val="000D295F"/>
    <w:rsid w:val="000D37A1"/>
    <w:rsid w:val="000D49FF"/>
    <w:rsid w:val="000D6ED8"/>
    <w:rsid w:val="000D6FD4"/>
    <w:rsid w:val="000E0592"/>
    <w:rsid w:val="000E0AE4"/>
    <w:rsid w:val="000E2140"/>
    <w:rsid w:val="000E3DBC"/>
    <w:rsid w:val="000E3FBC"/>
    <w:rsid w:val="000E43A4"/>
    <w:rsid w:val="000E558E"/>
    <w:rsid w:val="000E73A1"/>
    <w:rsid w:val="000F033C"/>
    <w:rsid w:val="000F164A"/>
    <w:rsid w:val="000F4A02"/>
    <w:rsid w:val="000F4C87"/>
    <w:rsid w:val="000F4D20"/>
    <w:rsid w:val="000F7349"/>
    <w:rsid w:val="0010220B"/>
    <w:rsid w:val="00103610"/>
    <w:rsid w:val="00104096"/>
    <w:rsid w:val="001050FE"/>
    <w:rsid w:val="0011003C"/>
    <w:rsid w:val="00112544"/>
    <w:rsid w:val="00112CD2"/>
    <w:rsid w:val="00113CE3"/>
    <w:rsid w:val="00114118"/>
    <w:rsid w:val="00114BEC"/>
    <w:rsid w:val="00114E98"/>
    <w:rsid w:val="00117522"/>
    <w:rsid w:val="00121A2B"/>
    <w:rsid w:val="00123791"/>
    <w:rsid w:val="0013336E"/>
    <w:rsid w:val="00135D1F"/>
    <w:rsid w:val="00142121"/>
    <w:rsid w:val="001519A8"/>
    <w:rsid w:val="00151B3D"/>
    <w:rsid w:val="00151D64"/>
    <w:rsid w:val="00152774"/>
    <w:rsid w:val="001542D8"/>
    <w:rsid w:val="00155368"/>
    <w:rsid w:val="00155A13"/>
    <w:rsid w:val="00163951"/>
    <w:rsid w:val="0016465A"/>
    <w:rsid w:val="00164884"/>
    <w:rsid w:val="00164E77"/>
    <w:rsid w:val="0016573A"/>
    <w:rsid w:val="00166720"/>
    <w:rsid w:val="00173870"/>
    <w:rsid w:val="00175BFE"/>
    <w:rsid w:val="00180C41"/>
    <w:rsid w:val="00182C4C"/>
    <w:rsid w:val="001834B3"/>
    <w:rsid w:val="00183CB3"/>
    <w:rsid w:val="0018574D"/>
    <w:rsid w:val="00185A38"/>
    <w:rsid w:val="001863A8"/>
    <w:rsid w:val="00187009"/>
    <w:rsid w:val="0019003C"/>
    <w:rsid w:val="0019285B"/>
    <w:rsid w:val="0019410E"/>
    <w:rsid w:val="0019700E"/>
    <w:rsid w:val="00197D8D"/>
    <w:rsid w:val="001A037C"/>
    <w:rsid w:val="001A159B"/>
    <w:rsid w:val="001A1A75"/>
    <w:rsid w:val="001A3D80"/>
    <w:rsid w:val="001A5E17"/>
    <w:rsid w:val="001A5E3A"/>
    <w:rsid w:val="001A66B1"/>
    <w:rsid w:val="001A7E9A"/>
    <w:rsid w:val="001B6D20"/>
    <w:rsid w:val="001B72B6"/>
    <w:rsid w:val="001B77B3"/>
    <w:rsid w:val="001C02E8"/>
    <w:rsid w:val="001C27A3"/>
    <w:rsid w:val="001C282C"/>
    <w:rsid w:val="001C3D2F"/>
    <w:rsid w:val="001C5295"/>
    <w:rsid w:val="001C62A7"/>
    <w:rsid w:val="001C711D"/>
    <w:rsid w:val="001D06D8"/>
    <w:rsid w:val="001D5009"/>
    <w:rsid w:val="001E09B2"/>
    <w:rsid w:val="001E09FA"/>
    <w:rsid w:val="001E1568"/>
    <w:rsid w:val="001E25C2"/>
    <w:rsid w:val="001E2F72"/>
    <w:rsid w:val="001E3220"/>
    <w:rsid w:val="001E41BB"/>
    <w:rsid w:val="001E5BCE"/>
    <w:rsid w:val="001E5F53"/>
    <w:rsid w:val="001E63F4"/>
    <w:rsid w:val="001E6B7C"/>
    <w:rsid w:val="001F1259"/>
    <w:rsid w:val="001F3655"/>
    <w:rsid w:val="001F5B9C"/>
    <w:rsid w:val="001F625D"/>
    <w:rsid w:val="001F7358"/>
    <w:rsid w:val="001F74B2"/>
    <w:rsid w:val="00202D84"/>
    <w:rsid w:val="00203540"/>
    <w:rsid w:val="002067CC"/>
    <w:rsid w:val="00206846"/>
    <w:rsid w:val="00207D08"/>
    <w:rsid w:val="002134EE"/>
    <w:rsid w:val="00221D07"/>
    <w:rsid w:val="00223413"/>
    <w:rsid w:val="00225872"/>
    <w:rsid w:val="00227E4A"/>
    <w:rsid w:val="00231231"/>
    <w:rsid w:val="0023295B"/>
    <w:rsid w:val="002329B8"/>
    <w:rsid w:val="00233055"/>
    <w:rsid w:val="002356A5"/>
    <w:rsid w:val="00236C77"/>
    <w:rsid w:val="0024148B"/>
    <w:rsid w:val="00241874"/>
    <w:rsid w:val="0024229E"/>
    <w:rsid w:val="002432EE"/>
    <w:rsid w:val="00243BFF"/>
    <w:rsid w:val="0024448E"/>
    <w:rsid w:val="0024582E"/>
    <w:rsid w:val="00246EE3"/>
    <w:rsid w:val="00251E4E"/>
    <w:rsid w:val="00252189"/>
    <w:rsid w:val="00253D50"/>
    <w:rsid w:val="002544CD"/>
    <w:rsid w:val="002547EF"/>
    <w:rsid w:val="00254997"/>
    <w:rsid w:val="00256D65"/>
    <w:rsid w:val="002618A9"/>
    <w:rsid w:val="00267D90"/>
    <w:rsid w:val="00271F00"/>
    <w:rsid w:val="0027206D"/>
    <w:rsid w:val="00273A80"/>
    <w:rsid w:val="0027446F"/>
    <w:rsid w:val="0027513D"/>
    <w:rsid w:val="00276026"/>
    <w:rsid w:val="002831C4"/>
    <w:rsid w:val="002851C8"/>
    <w:rsid w:val="00287625"/>
    <w:rsid w:val="00287ED3"/>
    <w:rsid w:val="00291767"/>
    <w:rsid w:val="0029204E"/>
    <w:rsid w:val="00294BAD"/>
    <w:rsid w:val="00295BCF"/>
    <w:rsid w:val="00295E49"/>
    <w:rsid w:val="0029631C"/>
    <w:rsid w:val="002A0194"/>
    <w:rsid w:val="002A02B6"/>
    <w:rsid w:val="002A30E0"/>
    <w:rsid w:val="002A3773"/>
    <w:rsid w:val="002A55C4"/>
    <w:rsid w:val="002A5F8B"/>
    <w:rsid w:val="002A623E"/>
    <w:rsid w:val="002A7F6C"/>
    <w:rsid w:val="002B0D8E"/>
    <w:rsid w:val="002B3C8A"/>
    <w:rsid w:val="002B3E91"/>
    <w:rsid w:val="002B52B2"/>
    <w:rsid w:val="002B6033"/>
    <w:rsid w:val="002C2341"/>
    <w:rsid w:val="002C2D27"/>
    <w:rsid w:val="002C3B32"/>
    <w:rsid w:val="002C4A91"/>
    <w:rsid w:val="002C5367"/>
    <w:rsid w:val="002C60B5"/>
    <w:rsid w:val="002C67B1"/>
    <w:rsid w:val="002C7C0C"/>
    <w:rsid w:val="002D1729"/>
    <w:rsid w:val="002D6809"/>
    <w:rsid w:val="002E086A"/>
    <w:rsid w:val="002F0569"/>
    <w:rsid w:val="002F48E2"/>
    <w:rsid w:val="002F568B"/>
    <w:rsid w:val="002F6488"/>
    <w:rsid w:val="002F7FA2"/>
    <w:rsid w:val="00301FAE"/>
    <w:rsid w:val="00302A52"/>
    <w:rsid w:val="00303032"/>
    <w:rsid w:val="00303579"/>
    <w:rsid w:val="00303E6E"/>
    <w:rsid w:val="003048DD"/>
    <w:rsid w:val="00307CB3"/>
    <w:rsid w:val="00307E45"/>
    <w:rsid w:val="003103CD"/>
    <w:rsid w:val="00310E84"/>
    <w:rsid w:val="00311211"/>
    <w:rsid w:val="003118FE"/>
    <w:rsid w:val="003135CE"/>
    <w:rsid w:val="00315A71"/>
    <w:rsid w:val="00316E5D"/>
    <w:rsid w:val="00320A90"/>
    <w:rsid w:val="003213F9"/>
    <w:rsid w:val="00321466"/>
    <w:rsid w:val="00323DBF"/>
    <w:rsid w:val="003309A8"/>
    <w:rsid w:val="00332B12"/>
    <w:rsid w:val="00333D1D"/>
    <w:rsid w:val="0033470E"/>
    <w:rsid w:val="00336711"/>
    <w:rsid w:val="003432B9"/>
    <w:rsid w:val="003473FB"/>
    <w:rsid w:val="00347935"/>
    <w:rsid w:val="00350DBD"/>
    <w:rsid w:val="00351927"/>
    <w:rsid w:val="00351AB4"/>
    <w:rsid w:val="00351B07"/>
    <w:rsid w:val="00352AC1"/>
    <w:rsid w:val="00353091"/>
    <w:rsid w:val="00353768"/>
    <w:rsid w:val="0035571B"/>
    <w:rsid w:val="0035635F"/>
    <w:rsid w:val="003564A7"/>
    <w:rsid w:val="00356899"/>
    <w:rsid w:val="0035739C"/>
    <w:rsid w:val="003602D8"/>
    <w:rsid w:val="00361652"/>
    <w:rsid w:val="0036268A"/>
    <w:rsid w:val="00364030"/>
    <w:rsid w:val="00364841"/>
    <w:rsid w:val="003649EA"/>
    <w:rsid w:val="00365006"/>
    <w:rsid w:val="00366E4F"/>
    <w:rsid w:val="003708B3"/>
    <w:rsid w:val="003717AD"/>
    <w:rsid w:val="0037180F"/>
    <w:rsid w:val="00371B29"/>
    <w:rsid w:val="00372182"/>
    <w:rsid w:val="00372F39"/>
    <w:rsid w:val="00373085"/>
    <w:rsid w:val="0037520F"/>
    <w:rsid w:val="00380A4A"/>
    <w:rsid w:val="0038483B"/>
    <w:rsid w:val="00385C00"/>
    <w:rsid w:val="00391769"/>
    <w:rsid w:val="003928C7"/>
    <w:rsid w:val="003947C3"/>
    <w:rsid w:val="0039510B"/>
    <w:rsid w:val="003953E1"/>
    <w:rsid w:val="003956B3"/>
    <w:rsid w:val="003A0A1B"/>
    <w:rsid w:val="003A377C"/>
    <w:rsid w:val="003A64E7"/>
    <w:rsid w:val="003A68BE"/>
    <w:rsid w:val="003A7725"/>
    <w:rsid w:val="003B0E83"/>
    <w:rsid w:val="003B19E8"/>
    <w:rsid w:val="003B3C9D"/>
    <w:rsid w:val="003B78E0"/>
    <w:rsid w:val="003B7E03"/>
    <w:rsid w:val="003C1381"/>
    <w:rsid w:val="003C2EAF"/>
    <w:rsid w:val="003C341B"/>
    <w:rsid w:val="003C3AD4"/>
    <w:rsid w:val="003C4650"/>
    <w:rsid w:val="003C4969"/>
    <w:rsid w:val="003D20B2"/>
    <w:rsid w:val="003D5AB8"/>
    <w:rsid w:val="003D7102"/>
    <w:rsid w:val="003E0812"/>
    <w:rsid w:val="003E2D42"/>
    <w:rsid w:val="003E41D5"/>
    <w:rsid w:val="003E44A8"/>
    <w:rsid w:val="003E46BA"/>
    <w:rsid w:val="003E4CE7"/>
    <w:rsid w:val="003E68BA"/>
    <w:rsid w:val="003E7AAE"/>
    <w:rsid w:val="003E7D22"/>
    <w:rsid w:val="003F576F"/>
    <w:rsid w:val="003F74C1"/>
    <w:rsid w:val="004012A8"/>
    <w:rsid w:val="00402D3B"/>
    <w:rsid w:val="004037EF"/>
    <w:rsid w:val="00405A7A"/>
    <w:rsid w:val="00405B1A"/>
    <w:rsid w:val="00407006"/>
    <w:rsid w:val="00407241"/>
    <w:rsid w:val="0040761E"/>
    <w:rsid w:val="00407DF4"/>
    <w:rsid w:val="00410C76"/>
    <w:rsid w:val="00411907"/>
    <w:rsid w:val="00413CA8"/>
    <w:rsid w:val="00415DF7"/>
    <w:rsid w:val="00416B34"/>
    <w:rsid w:val="00417EE3"/>
    <w:rsid w:val="004207EB"/>
    <w:rsid w:val="004214A1"/>
    <w:rsid w:val="004260F0"/>
    <w:rsid w:val="0043125E"/>
    <w:rsid w:val="00435208"/>
    <w:rsid w:val="004354AB"/>
    <w:rsid w:val="0043567E"/>
    <w:rsid w:val="00435FA5"/>
    <w:rsid w:val="004366FC"/>
    <w:rsid w:val="00436B8D"/>
    <w:rsid w:val="00437276"/>
    <w:rsid w:val="00440D4E"/>
    <w:rsid w:val="00447170"/>
    <w:rsid w:val="004474D9"/>
    <w:rsid w:val="00447E67"/>
    <w:rsid w:val="00450BD8"/>
    <w:rsid w:val="004512AA"/>
    <w:rsid w:val="00453E38"/>
    <w:rsid w:val="004552E2"/>
    <w:rsid w:val="0045556F"/>
    <w:rsid w:val="00456B54"/>
    <w:rsid w:val="00457472"/>
    <w:rsid w:val="00457D69"/>
    <w:rsid w:val="00462550"/>
    <w:rsid w:val="004628F6"/>
    <w:rsid w:val="00462A77"/>
    <w:rsid w:val="00464643"/>
    <w:rsid w:val="004646F8"/>
    <w:rsid w:val="0046687E"/>
    <w:rsid w:val="00466EA8"/>
    <w:rsid w:val="00473C04"/>
    <w:rsid w:val="004740DA"/>
    <w:rsid w:val="00477326"/>
    <w:rsid w:val="00477FD1"/>
    <w:rsid w:val="00480248"/>
    <w:rsid w:val="00484AEC"/>
    <w:rsid w:val="00485C35"/>
    <w:rsid w:val="004865C9"/>
    <w:rsid w:val="00486793"/>
    <w:rsid w:val="00486EB1"/>
    <w:rsid w:val="004876B0"/>
    <w:rsid w:val="00490B59"/>
    <w:rsid w:val="00492812"/>
    <w:rsid w:val="00494FDA"/>
    <w:rsid w:val="00497D92"/>
    <w:rsid w:val="00497DC8"/>
    <w:rsid w:val="004A1131"/>
    <w:rsid w:val="004A2037"/>
    <w:rsid w:val="004A3685"/>
    <w:rsid w:val="004A78F1"/>
    <w:rsid w:val="004A7E97"/>
    <w:rsid w:val="004B02B3"/>
    <w:rsid w:val="004B5479"/>
    <w:rsid w:val="004B6C09"/>
    <w:rsid w:val="004C0272"/>
    <w:rsid w:val="004C2CE7"/>
    <w:rsid w:val="004C481E"/>
    <w:rsid w:val="004C4C82"/>
    <w:rsid w:val="004C5439"/>
    <w:rsid w:val="004C707F"/>
    <w:rsid w:val="004D30A6"/>
    <w:rsid w:val="004D3C0A"/>
    <w:rsid w:val="004D45DE"/>
    <w:rsid w:val="004D4D67"/>
    <w:rsid w:val="004D5E67"/>
    <w:rsid w:val="004E033D"/>
    <w:rsid w:val="004E2A36"/>
    <w:rsid w:val="004E2A97"/>
    <w:rsid w:val="004E393C"/>
    <w:rsid w:val="004E6854"/>
    <w:rsid w:val="004F0B21"/>
    <w:rsid w:val="004F4017"/>
    <w:rsid w:val="004F4F98"/>
    <w:rsid w:val="004F6360"/>
    <w:rsid w:val="004F66F3"/>
    <w:rsid w:val="004F69F6"/>
    <w:rsid w:val="004F6EB3"/>
    <w:rsid w:val="004F79AC"/>
    <w:rsid w:val="004F7BBF"/>
    <w:rsid w:val="004F7BD7"/>
    <w:rsid w:val="005017CF"/>
    <w:rsid w:val="00501E53"/>
    <w:rsid w:val="00510031"/>
    <w:rsid w:val="00510E3B"/>
    <w:rsid w:val="00511368"/>
    <w:rsid w:val="00512290"/>
    <w:rsid w:val="00512D34"/>
    <w:rsid w:val="005142A5"/>
    <w:rsid w:val="0051433F"/>
    <w:rsid w:val="00516C2C"/>
    <w:rsid w:val="005207D8"/>
    <w:rsid w:val="00520FD6"/>
    <w:rsid w:val="00521F70"/>
    <w:rsid w:val="005239A6"/>
    <w:rsid w:val="00524A25"/>
    <w:rsid w:val="00530AB7"/>
    <w:rsid w:val="00530C80"/>
    <w:rsid w:val="00531EBC"/>
    <w:rsid w:val="00533AAA"/>
    <w:rsid w:val="00533DDC"/>
    <w:rsid w:val="0053464E"/>
    <w:rsid w:val="005358B0"/>
    <w:rsid w:val="00537C0C"/>
    <w:rsid w:val="005404B3"/>
    <w:rsid w:val="005436E3"/>
    <w:rsid w:val="005530FA"/>
    <w:rsid w:val="00553969"/>
    <w:rsid w:val="00556352"/>
    <w:rsid w:val="00557F82"/>
    <w:rsid w:val="0056055C"/>
    <w:rsid w:val="00562917"/>
    <w:rsid w:val="0056336F"/>
    <w:rsid w:val="0056402A"/>
    <w:rsid w:val="00564D3F"/>
    <w:rsid w:val="00566828"/>
    <w:rsid w:val="00572164"/>
    <w:rsid w:val="00572A99"/>
    <w:rsid w:val="005828EF"/>
    <w:rsid w:val="00583C33"/>
    <w:rsid w:val="00584E9D"/>
    <w:rsid w:val="0058534A"/>
    <w:rsid w:val="00586228"/>
    <w:rsid w:val="0058730B"/>
    <w:rsid w:val="005877B0"/>
    <w:rsid w:val="005914EC"/>
    <w:rsid w:val="0059227F"/>
    <w:rsid w:val="0059498B"/>
    <w:rsid w:val="00594CE4"/>
    <w:rsid w:val="005961D8"/>
    <w:rsid w:val="00596300"/>
    <w:rsid w:val="00597A3A"/>
    <w:rsid w:val="005A343C"/>
    <w:rsid w:val="005A3A03"/>
    <w:rsid w:val="005A4C5D"/>
    <w:rsid w:val="005A662A"/>
    <w:rsid w:val="005A6791"/>
    <w:rsid w:val="005A722C"/>
    <w:rsid w:val="005A7CE7"/>
    <w:rsid w:val="005B01E7"/>
    <w:rsid w:val="005B207F"/>
    <w:rsid w:val="005B2766"/>
    <w:rsid w:val="005B2E20"/>
    <w:rsid w:val="005B43F4"/>
    <w:rsid w:val="005B4F68"/>
    <w:rsid w:val="005B615C"/>
    <w:rsid w:val="005B6AF4"/>
    <w:rsid w:val="005C04CB"/>
    <w:rsid w:val="005C0766"/>
    <w:rsid w:val="005C3DE1"/>
    <w:rsid w:val="005C4BD7"/>
    <w:rsid w:val="005C4D8E"/>
    <w:rsid w:val="005C71BA"/>
    <w:rsid w:val="005D0D76"/>
    <w:rsid w:val="005D16AD"/>
    <w:rsid w:val="005D1832"/>
    <w:rsid w:val="005D1F26"/>
    <w:rsid w:val="005D317F"/>
    <w:rsid w:val="005D3A53"/>
    <w:rsid w:val="005D62DD"/>
    <w:rsid w:val="005D6655"/>
    <w:rsid w:val="005D72E1"/>
    <w:rsid w:val="005E2504"/>
    <w:rsid w:val="005E2F53"/>
    <w:rsid w:val="005E31A0"/>
    <w:rsid w:val="005E3AD6"/>
    <w:rsid w:val="005E6E16"/>
    <w:rsid w:val="005F1BE1"/>
    <w:rsid w:val="005F400E"/>
    <w:rsid w:val="005F65BA"/>
    <w:rsid w:val="005F685F"/>
    <w:rsid w:val="005F7342"/>
    <w:rsid w:val="00603A08"/>
    <w:rsid w:val="00604288"/>
    <w:rsid w:val="00605C0C"/>
    <w:rsid w:val="006066BC"/>
    <w:rsid w:val="00606C88"/>
    <w:rsid w:val="00610A3C"/>
    <w:rsid w:val="006134C7"/>
    <w:rsid w:val="00614695"/>
    <w:rsid w:val="00622130"/>
    <w:rsid w:val="00622E83"/>
    <w:rsid w:val="00624C4C"/>
    <w:rsid w:val="006252B1"/>
    <w:rsid w:val="00625DB2"/>
    <w:rsid w:val="006260F0"/>
    <w:rsid w:val="006267F1"/>
    <w:rsid w:val="00626ADD"/>
    <w:rsid w:val="00627F48"/>
    <w:rsid w:val="00633ACA"/>
    <w:rsid w:val="006342E0"/>
    <w:rsid w:val="006357F1"/>
    <w:rsid w:val="00636883"/>
    <w:rsid w:val="00636FB6"/>
    <w:rsid w:val="006374FA"/>
    <w:rsid w:val="00637CD1"/>
    <w:rsid w:val="00642A47"/>
    <w:rsid w:val="00646803"/>
    <w:rsid w:val="00646FDD"/>
    <w:rsid w:val="006502CD"/>
    <w:rsid w:val="006519BE"/>
    <w:rsid w:val="00653A32"/>
    <w:rsid w:val="00653DDC"/>
    <w:rsid w:val="006544DE"/>
    <w:rsid w:val="00654B01"/>
    <w:rsid w:val="006566BE"/>
    <w:rsid w:val="00657E4C"/>
    <w:rsid w:val="0066200C"/>
    <w:rsid w:val="006622B6"/>
    <w:rsid w:val="0066342D"/>
    <w:rsid w:val="00663FCF"/>
    <w:rsid w:val="006652A2"/>
    <w:rsid w:val="00667879"/>
    <w:rsid w:val="00671025"/>
    <w:rsid w:val="00671D50"/>
    <w:rsid w:val="00673D30"/>
    <w:rsid w:val="00674A95"/>
    <w:rsid w:val="00676F29"/>
    <w:rsid w:val="00681754"/>
    <w:rsid w:val="00681D53"/>
    <w:rsid w:val="00682E28"/>
    <w:rsid w:val="0068304D"/>
    <w:rsid w:val="006836B7"/>
    <w:rsid w:val="006838B2"/>
    <w:rsid w:val="00683E69"/>
    <w:rsid w:val="00683E95"/>
    <w:rsid w:val="00685269"/>
    <w:rsid w:val="00690D55"/>
    <w:rsid w:val="006928E5"/>
    <w:rsid w:val="00692AA8"/>
    <w:rsid w:val="006937FF"/>
    <w:rsid w:val="006959E0"/>
    <w:rsid w:val="006965BF"/>
    <w:rsid w:val="006974DA"/>
    <w:rsid w:val="006A4756"/>
    <w:rsid w:val="006A48A7"/>
    <w:rsid w:val="006A49EA"/>
    <w:rsid w:val="006A7E2B"/>
    <w:rsid w:val="006B086E"/>
    <w:rsid w:val="006B4BA1"/>
    <w:rsid w:val="006B527E"/>
    <w:rsid w:val="006C19EF"/>
    <w:rsid w:val="006C28E2"/>
    <w:rsid w:val="006C3CE8"/>
    <w:rsid w:val="006C5469"/>
    <w:rsid w:val="006C5CF5"/>
    <w:rsid w:val="006D7D3F"/>
    <w:rsid w:val="006E249E"/>
    <w:rsid w:val="006E2AC4"/>
    <w:rsid w:val="006E30D2"/>
    <w:rsid w:val="006E3F36"/>
    <w:rsid w:val="006E7196"/>
    <w:rsid w:val="006F17A0"/>
    <w:rsid w:val="006F18EC"/>
    <w:rsid w:val="006F19E1"/>
    <w:rsid w:val="006F2310"/>
    <w:rsid w:val="006F26EB"/>
    <w:rsid w:val="006F4A82"/>
    <w:rsid w:val="006F60AA"/>
    <w:rsid w:val="006F6435"/>
    <w:rsid w:val="006F6904"/>
    <w:rsid w:val="00700239"/>
    <w:rsid w:val="00700625"/>
    <w:rsid w:val="00701478"/>
    <w:rsid w:val="00702D29"/>
    <w:rsid w:val="00703511"/>
    <w:rsid w:val="0070373B"/>
    <w:rsid w:val="007053C1"/>
    <w:rsid w:val="0070575E"/>
    <w:rsid w:val="00707E72"/>
    <w:rsid w:val="007113EB"/>
    <w:rsid w:val="007129C1"/>
    <w:rsid w:val="00712A69"/>
    <w:rsid w:val="007133DA"/>
    <w:rsid w:val="00714C98"/>
    <w:rsid w:val="0072150F"/>
    <w:rsid w:val="00724FA4"/>
    <w:rsid w:val="007251CA"/>
    <w:rsid w:val="0072681C"/>
    <w:rsid w:val="00726C2F"/>
    <w:rsid w:val="00727478"/>
    <w:rsid w:val="0072759C"/>
    <w:rsid w:val="00730800"/>
    <w:rsid w:val="007335AB"/>
    <w:rsid w:val="0073520B"/>
    <w:rsid w:val="00735A45"/>
    <w:rsid w:val="007368AB"/>
    <w:rsid w:val="00737902"/>
    <w:rsid w:val="00737CA6"/>
    <w:rsid w:val="0074111B"/>
    <w:rsid w:val="00741907"/>
    <w:rsid w:val="00741EFE"/>
    <w:rsid w:val="0074580B"/>
    <w:rsid w:val="00746384"/>
    <w:rsid w:val="0074697B"/>
    <w:rsid w:val="0074784D"/>
    <w:rsid w:val="00751F33"/>
    <w:rsid w:val="007523DB"/>
    <w:rsid w:val="0075545A"/>
    <w:rsid w:val="007559FD"/>
    <w:rsid w:val="00755AFC"/>
    <w:rsid w:val="007602AA"/>
    <w:rsid w:val="0076417D"/>
    <w:rsid w:val="007652EF"/>
    <w:rsid w:val="00772BDC"/>
    <w:rsid w:val="00773033"/>
    <w:rsid w:val="00773C4A"/>
    <w:rsid w:val="0077567E"/>
    <w:rsid w:val="00780792"/>
    <w:rsid w:val="0078404F"/>
    <w:rsid w:val="007925D5"/>
    <w:rsid w:val="00793B4A"/>
    <w:rsid w:val="00795822"/>
    <w:rsid w:val="007960B8"/>
    <w:rsid w:val="007A0E6E"/>
    <w:rsid w:val="007A1D41"/>
    <w:rsid w:val="007A1FB4"/>
    <w:rsid w:val="007A21C4"/>
    <w:rsid w:val="007A27A1"/>
    <w:rsid w:val="007A44B4"/>
    <w:rsid w:val="007A4BFF"/>
    <w:rsid w:val="007A5F99"/>
    <w:rsid w:val="007A6A66"/>
    <w:rsid w:val="007A7D3D"/>
    <w:rsid w:val="007B225D"/>
    <w:rsid w:val="007B30E8"/>
    <w:rsid w:val="007B4B71"/>
    <w:rsid w:val="007B528B"/>
    <w:rsid w:val="007B6097"/>
    <w:rsid w:val="007B65CB"/>
    <w:rsid w:val="007B7A89"/>
    <w:rsid w:val="007C174F"/>
    <w:rsid w:val="007C1C64"/>
    <w:rsid w:val="007C5222"/>
    <w:rsid w:val="007D075E"/>
    <w:rsid w:val="007D40A1"/>
    <w:rsid w:val="007D4222"/>
    <w:rsid w:val="007E43DE"/>
    <w:rsid w:val="007E48BC"/>
    <w:rsid w:val="007E5A7C"/>
    <w:rsid w:val="007E79F7"/>
    <w:rsid w:val="007F002D"/>
    <w:rsid w:val="007F1469"/>
    <w:rsid w:val="007F2292"/>
    <w:rsid w:val="007F3291"/>
    <w:rsid w:val="007F3630"/>
    <w:rsid w:val="007F4D2C"/>
    <w:rsid w:val="0080449D"/>
    <w:rsid w:val="00806F5B"/>
    <w:rsid w:val="00807559"/>
    <w:rsid w:val="00811C0B"/>
    <w:rsid w:val="008121F9"/>
    <w:rsid w:val="00812495"/>
    <w:rsid w:val="00814B86"/>
    <w:rsid w:val="00817192"/>
    <w:rsid w:val="00822BA2"/>
    <w:rsid w:val="00822BE5"/>
    <w:rsid w:val="008255D6"/>
    <w:rsid w:val="00826A89"/>
    <w:rsid w:val="008270E3"/>
    <w:rsid w:val="00830080"/>
    <w:rsid w:val="0083119C"/>
    <w:rsid w:val="00831C71"/>
    <w:rsid w:val="00832867"/>
    <w:rsid w:val="00836FBE"/>
    <w:rsid w:val="00841FD0"/>
    <w:rsid w:val="00841FED"/>
    <w:rsid w:val="008450BC"/>
    <w:rsid w:val="008461B4"/>
    <w:rsid w:val="00851882"/>
    <w:rsid w:val="00851A60"/>
    <w:rsid w:val="0085334B"/>
    <w:rsid w:val="00853F64"/>
    <w:rsid w:val="0085473E"/>
    <w:rsid w:val="00856D1C"/>
    <w:rsid w:val="00857B61"/>
    <w:rsid w:val="008603A0"/>
    <w:rsid w:val="00860ACA"/>
    <w:rsid w:val="00862246"/>
    <w:rsid w:val="00867B23"/>
    <w:rsid w:val="00870214"/>
    <w:rsid w:val="00871494"/>
    <w:rsid w:val="00873D11"/>
    <w:rsid w:val="00876515"/>
    <w:rsid w:val="00876729"/>
    <w:rsid w:val="008768BC"/>
    <w:rsid w:val="00881020"/>
    <w:rsid w:val="00881502"/>
    <w:rsid w:val="00882326"/>
    <w:rsid w:val="008828D9"/>
    <w:rsid w:val="008835C3"/>
    <w:rsid w:val="00885C51"/>
    <w:rsid w:val="00885EB0"/>
    <w:rsid w:val="00887597"/>
    <w:rsid w:val="0089174C"/>
    <w:rsid w:val="00891C1D"/>
    <w:rsid w:val="0089264A"/>
    <w:rsid w:val="008937F5"/>
    <w:rsid w:val="00896B85"/>
    <w:rsid w:val="00897554"/>
    <w:rsid w:val="008A22BE"/>
    <w:rsid w:val="008A3221"/>
    <w:rsid w:val="008A35FB"/>
    <w:rsid w:val="008A3649"/>
    <w:rsid w:val="008A5AAA"/>
    <w:rsid w:val="008A6179"/>
    <w:rsid w:val="008A792F"/>
    <w:rsid w:val="008B0075"/>
    <w:rsid w:val="008B4740"/>
    <w:rsid w:val="008B4A63"/>
    <w:rsid w:val="008B5372"/>
    <w:rsid w:val="008B63F3"/>
    <w:rsid w:val="008C0E7A"/>
    <w:rsid w:val="008C1B36"/>
    <w:rsid w:val="008C1C52"/>
    <w:rsid w:val="008C3134"/>
    <w:rsid w:val="008C5079"/>
    <w:rsid w:val="008C5524"/>
    <w:rsid w:val="008C7A40"/>
    <w:rsid w:val="008C7E7C"/>
    <w:rsid w:val="008D06C6"/>
    <w:rsid w:val="008D0D88"/>
    <w:rsid w:val="008D1B61"/>
    <w:rsid w:val="008D254D"/>
    <w:rsid w:val="008D2C28"/>
    <w:rsid w:val="008D40A1"/>
    <w:rsid w:val="008D4158"/>
    <w:rsid w:val="008D45BF"/>
    <w:rsid w:val="008D4DCA"/>
    <w:rsid w:val="008D531A"/>
    <w:rsid w:val="008E154A"/>
    <w:rsid w:val="008E54EE"/>
    <w:rsid w:val="008E6250"/>
    <w:rsid w:val="008E62AB"/>
    <w:rsid w:val="008E65F0"/>
    <w:rsid w:val="008F12A0"/>
    <w:rsid w:val="008F3892"/>
    <w:rsid w:val="008F4710"/>
    <w:rsid w:val="008F77CA"/>
    <w:rsid w:val="00902606"/>
    <w:rsid w:val="00902AF6"/>
    <w:rsid w:val="00904B47"/>
    <w:rsid w:val="00912EB1"/>
    <w:rsid w:val="00914030"/>
    <w:rsid w:val="00915D17"/>
    <w:rsid w:val="00920249"/>
    <w:rsid w:val="009209BA"/>
    <w:rsid w:val="00922310"/>
    <w:rsid w:val="00922D3D"/>
    <w:rsid w:val="00923ACE"/>
    <w:rsid w:val="00924C72"/>
    <w:rsid w:val="00924C80"/>
    <w:rsid w:val="009253E8"/>
    <w:rsid w:val="0093132C"/>
    <w:rsid w:val="00932F14"/>
    <w:rsid w:val="0093326E"/>
    <w:rsid w:val="0094247F"/>
    <w:rsid w:val="00942D60"/>
    <w:rsid w:val="00944BA4"/>
    <w:rsid w:val="00946479"/>
    <w:rsid w:val="00951DBF"/>
    <w:rsid w:val="00952D94"/>
    <w:rsid w:val="0096422B"/>
    <w:rsid w:val="0096523B"/>
    <w:rsid w:val="00965242"/>
    <w:rsid w:val="00966EE3"/>
    <w:rsid w:val="0097009B"/>
    <w:rsid w:val="00971179"/>
    <w:rsid w:val="009712C3"/>
    <w:rsid w:val="00972D06"/>
    <w:rsid w:val="0097361C"/>
    <w:rsid w:val="00974C69"/>
    <w:rsid w:val="00981914"/>
    <w:rsid w:val="009821CD"/>
    <w:rsid w:val="00982DC7"/>
    <w:rsid w:val="00984F62"/>
    <w:rsid w:val="00986265"/>
    <w:rsid w:val="00990832"/>
    <w:rsid w:val="00990BEF"/>
    <w:rsid w:val="00990ECD"/>
    <w:rsid w:val="00991AEB"/>
    <w:rsid w:val="009928ED"/>
    <w:rsid w:val="009A0BC1"/>
    <w:rsid w:val="009A391C"/>
    <w:rsid w:val="009A50F2"/>
    <w:rsid w:val="009A582F"/>
    <w:rsid w:val="009B16F0"/>
    <w:rsid w:val="009B187A"/>
    <w:rsid w:val="009B49B6"/>
    <w:rsid w:val="009B732D"/>
    <w:rsid w:val="009B7596"/>
    <w:rsid w:val="009C1DA1"/>
    <w:rsid w:val="009C23AC"/>
    <w:rsid w:val="009C2440"/>
    <w:rsid w:val="009C2660"/>
    <w:rsid w:val="009C3D35"/>
    <w:rsid w:val="009C4322"/>
    <w:rsid w:val="009C442E"/>
    <w:rsid w:val="009C4BA0"/>
    <w:rsid w:val="009C7936"/>
    <w:rsid w:val="009D0A97"/>
    <w:rsid w:val="009D0EB1"/>
    <w:rsid w:val="009D19A0"/>
    <w:rsid w:val="009D412E"/>
    <w:rsid w:val="009D790B"/>
    <w:rsid w:val="009E0A61"/>
    <w:rsid w:val="009E2A72"/>
    <w:rsid w:val="009E3010"/>
    <w:rsid w:val="009E38B3"/>
    <w:rsid w:val="009E73B2"/>
    <w:rsid w:val="009E7D2A"/>
    <w:rsid w:val="009F007E"/>
    <w:rsid w:val="009F393A"/>
    <w:rsid w:val="009F3A0B"/>
    <w:rsid w:val="009F3E98"/>
    <w:rsid w:val="009F7065"/>
    <w:rsid w:val="00A03333"/>
    <w:rsid w:val="00A045A2"/>
    <w:rsid w:val="00A06B5A"/>
    <w:rsid w:val="00A10D72"/>
    <w:rsid w:val="00A12B44"/>
    <w:rsid w:val="00A168E9"/>
    <w:rsid w:val="00A16BD9"/>
    <w:rsid w:val="00A21C2B"/>
    <w:rsid w:val="00A227CA"/>
    <w:rsid w:val="00A26B43"/>
    <w:rsid w:val="00A31090"/>
    <w:rsid w:val="00A32438"/>
    <w:rsid w:val="00A33A2D"/>
    <w:rsid w:val="00A40193"/>
    <w:rsid w:val="00A4175D"/>
    <w:rsid w:val="00A46A45"/>
    <w:rsid w:val="00A47146"/>
    <w:rsid w:val="00A5169C"/>
    <w:rsid w:val="00A54934"/>
    <w:rsid w:val="00A56DC7"/>
    <w:rsid w:val="00A56E34"/>
    <w:rsid w:val="00A56FBF"/>
    <w:rsid w:val="00A57F37"/>
    <w:rsid w:val="00A60348"/>
    <w:rsid w:val="00A60627"/>
    <w:rsid w:val="00A6380B"/>
    <w:rsid w:val="00A63812"/>
    <w:rsid w:val="00A65D41"/>
    <w:rsid w:val="00A66DB2"/>
    <w:rsid w:val="00A7279D"/>
    <w:rsid w:val="00A73D5E"/>
    <w:rsid w:val="00A7490C"/>
    <w:rsid w:val="00A74FD1"/>
    <w:rsid w:val="00A773A8"/>
    <w:rsid w:val="00A77C3D"/>
    <w:rsid w:val="00A77D84"/>
    <w:rsid w:val="00A84A58"/>
    <w:rsid w:val="00A85ED1"/>
    <w:rsid w:val="00A8777A"/>
    <w:rsid w:val="00A91DF1"/>
    <w:rsid w:val="00A9384C"/>
    <w:rsid w:val="00A93910"/>
    <w:rsid w:val="00A93AE2"/>
    <w:rsid w:val="00A953AC"/>
    <w:rsid w:val="00A9697C"/>
    <w:rsid w:val="00AA158B"/>
    <w:rsid w:val="00AA25B5"/>
    <w:rsid w:val="00AA389E"/>
    <w:rsid w:val="00AA4011"/>
    <w:rsid w:val="00AA5A25"/>
    <w:rsid w:val="00AA5B23"/>
    <w:rsid w:val="00AA797C"/>
    <w:rsid w:val="00AB0275"/>
    <w:rsid w:val="00AB3759"/>
    <w:rsid w:val="00AB404E"/>
    <w:rsid w:val="00AB6513"/>
    <w:rsid w:val="00AC19F4"/>
    <w:rsid w:val="00AC4030"/>
    <w:rsid w:val="00AC74CB"/>
    <w:rsid w:val="00AD114C"/>
    <w:rsid w:val="00AD1A12"/>
    <w:rsid w:val="00AD22F9"/>
    <w:rsid w:val="00AD25D1"/>
    <w:rsid w:val="00AD7A3D"/>
    <w:rsid w:val="00AE2DFC"/>
    <w:rsid w:val="00AE3C34"/>
    <w:rsid w:val="00AE4767"/>
    <w:rsid w:val="00AE4AD2"/>
    <w:rsid w:val="00AE4E6E"/>
    <w:rsid w:val="00AE766D"/>
    <w:rsid w:val="00AF06FC"/>
    <w:rsid w:val="00AF144B"/>
    <w:rsid w:val="00AF3391"/>
    <w:rsid w:val="00AF387F"/>
    <w:rsid w:val="00AF398B"/>
    <w:rsid w:val="00AF602C"/>
    <w:rsid w:val="00B00E7F"/>
    <w:rsid w:val="00B0176D"/>
    <w:rsid w:val="00B02004"/>
    <w:rsid w:val="00B02211"/>
    <w:rsid w:val="00B057F1"/>
    <w:rsid w:val="00B06494"/>
    <w:rsid w:val="00B07029"/>
    <w:rsid w:val="00B101E8"/>
    <w:rsid w:val="00B10876"/>
    <w:rsid w:val="00B12817"/>
    <w:rsid w:val="00B173DA"/>
    <w:rsid w:val="00B17729"/>
    <w:rsid w:val="00B20083"/>
    <w:rsid w:val="00B20619"/>
    <w:rsid w:val="00B21DCC"/>
    <w:rsid w:val="00B22F67"/>
    <w:rsid w:val="00B25F37"/>
    <w:rsid w:val="00B26833"/>
    <w:rsid w:val="00B272FF"/>
    <w:rsid w:val="00B27330"/>
    <w:rsid w:val="00B30A7C"/>
    <w:rsid w:val="00B30CA9"/>
    <w:rsid w:val="00B339C1"/>
    <w:rsid w:val="00B37327"/>
    <w:rsid w:val="00B402AA"/>
    <w:rsid w:val="00B40F3F"/>
    <w:rsid w:val="00B44422"/>
    <w:rsid w:val="00B4453F"/>
    <w:rsid w:val="00B46EA0"/>
    <w:rsid w:val="00B51948"/>
    <w:rsid w:val="00B51BB8"/>
    <w:rsid w:val="00B51E03"/>
    <w:rsid w:val="00B558CF"/>
    <w:rsid w:val="00B5775E"/>
    <w:rsid w:val="00B608A6"/>
    <w:rsid w:val="00B64064"/>
    <w:rsid w:val="00B641DE"/>
    <w:rsid w:val="00B6533F"/>
    <w:rsid w:val="00B65525"/>
    <w:rsid w:val="00B65710"/>
    <w:rsid w:val="00B665D5"/>
    <w:rsid w:val="00B673F1"/>
    <w:rsid w:val="00B719CC"/>
    <w:rsid w:val="00B71F51"/>
    <w:rsid w:val="00B72F6E"/>
    <w:rsid w:val="00B731D3"/>
    <w:rsid w:val="00B736FA"/>
    <w:rsid w:val="00B73D72"/>
    <w:rsid w:val="00B74056"/>
    <w:rsid w:val="00B82215"/>
    <w:rsid w:val="00B839A3"/>
    <w:rsid w:val="00B84BBC"/>
    <w:rsid w:val="00B853D2"/>
    <w:rsid w:val="00B874DC"/>
    <w:rsid w:val="00B87793"/>
    <w:rsid w:val="00B902BD"/>
    <w:rsid w:val="00B9479E"/>
    <w:rsid w:val="00B95007"/>
    <w:rsid w:val="00B9694C"/>
    <w:rsid w:val="00B96ADE"/>
    <w:rsid w:val="00BA0FFE"/>
    <w:rsid w:val="00BA1E33"/>
    <w:rsid w:val="00BA1FC9"/>
    <w:rsid w:val="00BA24E2"/>
    <w:rsid w:val="00BA5DAE"/>
    <w:rsid w:val="00BB2395"/>
    <w:rsid w:val="00BB30C7"/>
    <w:rsid w:val="00BB3F4A"/>
    <w:rsid w:val="00BB3FD4"/>
    <w:rsid w:val="00BB500A"/>
    <w:rsid w:val="00BB5930"/>
    <w:rsid w:val="00BB6482"/>
    <w:rsid w:val="00BB7F5B"/>
    <w:rsid w:val="00BB7FC5"/>
    <w:rsid w:val="00BC218C"/>
    <w:rsid w:val="00BC3736"/>
    <w:rsid w:val="00BC5061"/>
    <w:rsid w:val="00BC597F"/>
    <w:rsid w:val="00BC72E0"/>
    <w:rsid w:val="00BC7630"/>
    <w:rsid w:val="00BD17FF"/>
    <w:rsid w:val="00BD1A68"/>
    <w:rsid w:val="00BD2A39"/>
    <w:rsid w:val="00BD2E80"/>
    <w:rsid w:val="00BE11B8"/>
    <w:rsid w:val="00BE1FD8"/>
    <w:rsid w:val="00BE2263"/>
    <w:rsid w:val="00BE3818"/>
    <w:rsid w:val="00BE50D2"/>
    <w:rsid w:val="00BF0DC4"/>
    <w:rsid w:val="00BF4DBC"/>
    <w:rsid w:val="00BF5912"/>
    <w:rsid w:val="00BF69CE"/>
    <w:rsid w:val="00BF7FF0"/>
    <w:rsid w:val="00C0279F"/>
    <w:rsid w:val="00C040E8"/>
    <w:rsid w:val="00C12502"/>
    <w:rsid w:val="00C1266C"/>
    <w:rsid w:val="00C140F8"/>
    <w:rsid w:val="00C14D59"/>
    <w:rsid w:val="00C14FD2"/>
    <w:rsid w:val="00C15CB5"/>
    <w:rsid w:val="00C2021F"/>
    <w:rsid w:val="00C218FC"/>
    <w:rsid w:val="00C24927"/>
    <w:rsid w:val="00C250AC"/>
    <w:rsid w:val="00C2571B"/>
    <w:rsid w:val="00C26934"/>
    <w:rsid w:val="00C271B3"/>
    <w:rsid w:val="00C31050"/>
    <w:rsid w:val="00C3463F"/>
    <w:rsid w:val="00C346AF"/>
    <w:rsid w:val="00C36578"/>
    <w:rsid w:val="00C376B4"/>
    <w:rsid w:val="00C40AA5"/>
    <w:rsid w:val="00C41449"/>
    <w:rsid w:val="00C43631"/>
    <w:rsid w:val="00C438FF"/>
    <w:rsid w:val="00C46F70"/>
    <w:rsid w:val="00C476D0"/>
    <w:rsid w:val="00C500E0"/>
    <w:rsid w:val="00C5105E"/>
    <w:rsid w:val="00C535D1"/>
    <w:rsid w:val="00C547C8"/>
    <w:rsid w:val="00C5647D"/>
    <w:rsid w:val="00C56F71"/>
    <w:rsid w:val="00C63580"/>
    <w:rsid w:val="00C63C5D"/>
    <w:rsid w:val="00C643E8"/>
    <w:rsid w:val="00C64D75"/>
    <w:rsid w:val="00C666A0"/>
    <w:rsid w:val="00C67A74"/>
    <w:rsid w:val="00C704FE"/>
    <w:rsid w:val="00C708ED"/>
    <w:rsid w:val="00C70D6C"/>
    <w:rsid w:val="00C70E1F"/>
    <w:rsid w:val="00C71EC9"/>
    <w:rsid w:val="00C778B0"/>
    <w:rsid w:val="00C80FAB"/>
    <w:rsid w:val="00C81CB9"/>
    <w:rsid w:val="00C82B1E"/>
    <w:rsid w:val="00C82C2D"/>
    <w:rsid w:val="00C836E3"/>
    <w:rsid w:val="00C86577"/>
    <w:rsid w:val="00C86DA8"/>
    <w:rsid w:val="00C8711E"/>
    <w:rsid w:val="00C87151"/>
    <w:rsid w:val="00C87D9E"/>
    <w:rsid w:val="00C91657"/>
    <w:rsid w:val="00C92E07"/>
    <w:rsid w:val="00C93D33"/>
    <w:rsid w:val="00C94942"/>
    <w:rsid w:val="00C955E7"/>
    <w:rsid w:val="00C95A55"/>
    <w:rsid w:val="00C9631F"/>
    <w:rsid w:val="00C96868"/>
    <w:rsid w:val="00C96A50"/>
    <w:rsid w:val="00CA0416"/>
    <w:rsid w:val="00CA30F4"/>
    <w:rsid w:val="00CA328E"/>
    <w:rsid w:val="00CA3C65"/>
    <w:rsid w:val="00CA5171"/>
    <w:rsid w:val="00CA5CEE"/>
    <w:rsid w:val="00CA7F35"/>
    <w:rsid w:val="00CB1375"/>
    <w:rsid w:val="00CB36C3"/>
    <w:rsid w:val="00CB4DD3"/>
    <w:rsid w:val="00CB56C9"/>
    <w:rsid w:val="00CB7B3B"/>
    <w:rsid w:val="00CC12E3"/>
    <w:rsid w:val="00CC36E7"/>
    <w:rsid w:val="00CC560B"/>
    <w:rsid w:val="00CC75E2"/>
    <w:rsid w:val="00CC78EB"/>
    <w:rsid w:val="00CD0A53"/>
    <w:rsid w:val="00CD3A5F"/>
    <w:rsid w:val="00CD46EB"/>
    <w:rsid w:val="00CD63E5"/>
    <w:rsid w:val="00CD7DF7"/>
    <w:rsid w:val="00CD7EBF"/>
    <w:rsid w:val="00CE0AEB"/>
    <w:rsid w:val="00CE19CF"/>
    <w:rsid w:val="00CE25C8"/>
    <w:rsid w:val="00CE48E6"/>
    <w:rsid w:val="00CF1181"/>
    <w:rsid w:val="00CF2F29"/>
    <w:rsid w:val="00CF65D7"/>
    <w:rsid w:val="00D01167"/>
    <w:rsid w:val="00D01266"/>
    <w:rsid w:val="00D023DA"/>
    <w:rsid w:val="00D027B7"/>
    <w:rsid w:val="00D03023"/>
    <w:rsid w:val="00D03A8C"/>
    <w:rsid w:val="00D03D24"/>
    <w:rsid w:val="00D04529"/>
    <w:rsid w:val="00D051C7"/>
    <w:rsid w:val="00D056F1"/>
    <w:rsid w:val="00D062E4"/>
    <w:rsid w:val="00D10781"/>
    <w:rsid w:val="00D11171"/>
    <w:rsid w:val="00D14405"/>
    <w:rsid w:val="00D170C2"/>
    <w:rsid w:val="00D2071E"/>
    <w:rsid w:val="00D209C9"/>
    <w:rsid w:val="00D21DE4"/>
    <w:rsid w:val="00D22F3C"/>
    <w:rsid w:val="00D23DB6"/>
    <w:rsid w:val="00D26814"/>
    <w:rsid w:val="00D2730B"/>
    <w:rsid w:val="00D3171B"/>
    <w:rsid w:val="00D333B6"/>
    <w:rsid w:val="00D33F56"/>
    <w:rsid w:val="00D34791"/>
    <w:rsid w:val="00D34930"/>
    <w:rsid w:val="00D35013"/>
    <w:rsid w:val="00D352DC"/>
    <w:rsid w:val="00D37E46"/>
    <w:rsid w:val="00D41B6F"/>
    <w:rsid w:val="00D41BA1"/>
    <w:rsid w:val="00D43FE6"/>
    <w:rsid w:val="00D455D6"/>
    <w:rsid w:val="00D46DCF"/>
    <w:rsid w:val="00D51A95"/>
    <w:rsid w:val="00D60568"/>
    <w:rsid w:val="00D614AD"/>
    <w:rsid w:val="00D6334A"/>
    <w:rsid w:val="00D638CE"/>
    <w:rsid w:val="00D63EFD"/>
    <w:rsid w:val="00D65906"/>
    <w:rsid w:val="00D7043D"/>
    <w:rsid w:val="00D70C7A"/>
    <w:rsid w:val="00D71583"/>
    <w:rsid w:val="00D7361B"/>
    <w:rsid w:val="00D73931"/>
    <w:rsid w:val="00D766E4"/>
    <w:rsid w:val="00D76D21"/>
    <w:rsid w:val="00D773C8"/>
    <w:rsid w:val="00D81B10"/>
    <w:rsid w:val="00D81D38"/>
    <w:rsid w:val="00D827A2"/>
    <w:rsid w:val="00D8470F"/>
    <w:rsid w:val="00D8471A"/>
    <w:rsid w:val="00D84AA6"/>
    <w:rsid w:val="00D854AE"/>
    <w:rsid w:val="00D85D4D"/>
    <w:rsid w:val="00D873CB"/>
    <w:rsid w:val="00D911ED"/>
    <w:rsid w:val="00D921AC"/>
    <w:rsid w:val="00D927E0"/>
    <w:rsid w:val="00D932C8"/>
    <w:rsid w:val="00D93F9B"/>
    <w:rsid w:val="00D946C7"/>
    <w:rsid w:val="00D96DCD"/>
    <w:rsid w:val="00D9772A"/>
    <w:rsid w:val="00DA0320"/>
    <w:rsid w:val="00DA0924"/>
    <w:rsid w:val="00DA10A8"/>
    <w:rsid w:val="00DA2783"/>
    <w:rsid w:val="00DA308E"/>
    <w:rsid w:val="00DA51F2"/>
    <w:rsid w:val="00DA5454"/>
    <w:rsid w:val="00DA7840"/>
    <w:rsid w:val="00DB1E08"/>
    <w:rsid w:val="00DB25A8"/>
    <w:rsid w:val="00DB2973"/>
    <w:rsid w:val="00DB2D9D"/>
    <w:rsid w:val="00DB2F70"/>
    <w:rsid w:val="00DB324A"/>
    <w:rsid w:val="00DB42BD"/>
    <w:rsid w:val="00DB4F8C"/>
    <w:rsid w:val="00DB574A"/>
    <w:rsid w:val="00DB70EA"/>
    <w:rsid w:val="00DB7A08"/>
    <w:rsid w:val="00DC1B56"/>
    <w:rsid w:val="00DC2129"/>
    <w:rsid w:val="00DC3C72"/>
    <w:rsid w:val="00DC4DAC"/>
    <w:rsid w:val="00DC6570"/>
    <w:rsid w:val="00DC6849"/>
    <w:rsid w:val="00DC79C1"/>
    <w:rsid w:val="00DC7F19"/>
    <w:rsid w:val="00DD0584"/>
    <w:rsid w:val="00DD3C5E"/>
    <w:rsid w:val="00DD4395"/>
    <w:rsid w:val="00DD539E"/>
    <w:rsid w:val="00DD55FC"/>
    <w:rsid w:val="00DD6DFE"/>
    <w:rsid w:val="00DD72B9"/>
    <w:rsid w:val="00DD7FF1"/>
    <w:rsid w:val="00DE523B"/>
    <w:rsid w:val="00DE59B5"/>
    <w:rsid w:val="00DE79D9"/>
    <w:rsid w:val="00DF224F"/>
    <w:rsid w:val="00DF25C3"/>
    <w:rsid w:val="00DF2B05"/>
    <w:rsid w:val="00DF3060"/>
    <w:rsid w:val="00DF339B"/>
    <w:rsid w:val="00DF4CE3"/>
    <w:rsid w:val="00DF5D33"/>
    <w:rsid w:val="00DF7F1D"/>
    <w:rsid w:val="00DF7F58"/>
    <w:rsid w:val="00E04062"/>
    <w:rsid w:val="00E05AFD"/>
    <w:rsid w:val="00E063C6"/>
    <w:rsid w:val="00E0643A"/>
    <w:rsid w:val="00E07B87"/>
    <w:rsid w:val="00E11AA4"/>
    <w:rsid w:val="00E12E8C"/>
    <w:rsid w:val="00E1650F"/>
    <w:rsid w:val="00E17FF1"/>
    <w:rsid w:val="00E2003B"/>
    <w:rsid w:val="00E203C2"/>
    <w:rsid w:val="00E214C1"/>
    <w:rsid w:val="00E2277D"/>
    <w:rsid w:val="00E229FE"/>
    <w:rsid w:val="00E24DE8"/>
    <w:rsid w:val="00E279D8"/>
    <w:rsid w:val="00E27A90"/>
    <w:rsid w:val="00E319B1"/>
    <w:rsid w:val="00E31AA3"/>
    <w:rsid w:val="00E31D79"/>
    <w:rsid w:val="00E332C6"/>
    <w:rsid w:val="00E33A1C"/>
    <w:rsid w:val="00E34B31"/>
    <w:rsid w:val="00E34D94"/>
    <w:rsid w:val="00E35996"/>
    <w:rsid w:val="00E363B0"/>
    <w:rsid w:val="00E37211"/>
    <w:rsid w:val="00E3728F"/>
    <w:rsid w:val="00E40ED4"/>
    <w:rsid w:val="00E44E0D"/>
    <w:rsid w:val="00E47674"/>
    <w:rsid w:val="00E50FB9"/>
    <w:rsid w:val="00E520FE"/>
    <w:rsid w:val="00E5492F"/>
    <w:rsid w:val="00E57E81"/>
    <w:rsid w:val="00E603D1"/>
    <w:rsid w:val="00E62DEF"/>
    <w:rsid w:val="00E62E68"/>
    <w:rsid w:val="00E67448"/>
    <w:rsid w:val="00E67BE2"/>
    <w:rsid w:val="00E700B2"/>
    <w:rsid w:val="00E70A86"/>
    <w:rsid w:val="00E72AE3"/>
    <w:rsid w:val="00E73FBB"/>
    <w:rsid w:val="00E75054"/>
    <w:rsid w:val="00E751D6"/>
    <w:rsid w:val="00E75470"/>
    <w:rsid w:val="00E76ACC"/>
    <w:rsid w:val="00E777EC"/>
    <w:rsid w:val="00E779BF"/>
    <w:rsid w:val="00E80536"/>
    <w:rsid w:val="00E80FCD"/>
    <w:rsid w:val="00E81F6E"/>
    <w:rsid w:val="00E8353B"/>
    <w:rsid w:val="00E84077"/>
    <w:rsid w:val="00E85DE8"/>
    <w:rsid w:val="00E8670C"/>
    <w:rsid w:val="00E87C0D"/>
    <w:rsid w:val="00E90814"/>
    <w:rsid w:val="00E910D1"/>
    <w:rsid w:val="00E9116C"/>
    <w:rsid w:val="00E939AE"/>
    <w:rsid w:val="00E93FDF"/>
    <w:rsid w:val="00E951FD"/>
    <w:rsid w:val="00E95361"/>
    <w:rsid w:val="00E96094"/>
    <w:rsid w:val="00E97356"/>
    <w:rsid w:val="00EA4305"/>
    <w:rsid w:val="00EA5E5E"/>
    <w:rsid w:val="00EA772F"/>
    <w:rsid w:val="00EA7F2F"/>
    <w:rsid w:val="00EB55FF"/>
    <w:rsid w:val="00EB5A0D"/>
    <w:rsid w:val="00EB6117"/>
    <w:rsid w:val="00EB7816"/>
    <w:rsid w:val="00EC00DE"/>
    <w:rsid w:val="00EC0B19"/>
    <w:rsid w:val="00EC30E1"/>
    <w:rsid w:val="00ED172A"/>
    <w:rsid w:val="00ED31E0"/>
    <w:rsid w:val="00ED6036"/>
    <w:rsid w:val="00EE0A23"/>
    <w:rsid w:val="00EE0BEA"/>
    <w:rsid w:val="00EE3077"/>
    <w:rsid w:val="00EE3F82"/>
    <w:rsid w:val="00EE4BCC"/>
    <w:rsid w:val="00EE5839"/>
    <w:rsid w:val="00EE7ECC"/>
    <w:rsid w:val="00EF0684"/>
    <w:rsid w:val="00F01AF9"/>
    <w:rsid w:val="00F02A9F"/>
    <w:rsid w:val="00F048DA"/>
    <w:rsid w:val="00F04F67"/>
    <w:rsid w:val="00F05F27"/>
    <w:rsid w:val="00F06C32"/>
    <w:rsid w:val="00F0750B"/>
    <w:rsid w:val="00F101BB"/>
    <w:rsid w:val="00F1146C"/>
    <w:rsid w:val="00F12E11"/>
    <w:rsid w:val="00F14BEC"/>
    <w:rsid w:val="00F175CF"/>
    <w:rsid w:val="00F17EAA"/>
    <w:rsid w:val="00F211F2"/>
    <w:rsid w:val="00F21520"/>
    <w:rsid w:val="00F225C5"/>
    <w:rsid w:val="00F23947"/>
    <w:rsid w:val="00F245FD"/>
    <w:rsid w:val="00F2587A"/>
    <w:rsid w:val="00F269CA"/>
    <w:rsid w:val="00F306C5"/>
    <w:rsid w:val="00F30FEC"/>
    <w:rsid w:val="00F3142E"/>
    <w:rsid w:val="00F3254A"/>
    <w:rsid w:val="00F33BB8"/>
    <w:rsid w:val="00F355F2"/>
    <w:rsid w:val="00F367E7"/>
    <w:rsid w:val="00F36BC7"/>
    <w:rsid w:val="00F3715D"/>
    <w:rsid w:val="00F420C8"/>
    <w:rsid w:val="00F424F6"/>
    <w:rsid w:val="00F42937"/>
    <w:rsid w:val="00F42A4C"/>
    <w:rsid w:val="00F42D04"/>
    <w:rsid w:val="00F4551E"/>
    <w:rsid w:val="00F45D43"/>
    <w:rsid w:val="00F47A06"/>
    <w:rsid w:val="00F50448"/>
    <w:rsid w:val="00F5194E"/>
    <w:rsid w:val="00F53B04"/>
    <w:rsid w:val="00F604DE"/>
    <w:rsid w:val="00F63BDF"/>
    <w:rsid w:val="00F64653"/>
    <w:rsid w:val="00F67AC4"/>
    <w:rsid w:val="00F71575"/>
    <w:rsid w:val="00F72B10"/>
    <w:rsid w:val="00F73A46"/>
    <w:rsid w:val="00F80025"/>
    <w:rsid w:val="00F82CFD"/>
    <w:rsid w:val="00F832BB"/>
    <w:rsid w:val="00F8368B"/>
    <w:rsid w:val="00F84999"/>
    <w:rsid w:val="00F84B43"/>
    <w:rsid w:val="00F871DC"/>
    <w:rsid w:val="00F91F58"/>
    <w:rsid w:val="00F92147"/>
    <w:rsid w:val="00F93365"/>
    <w:rsid w:val="00F9419D"/>
    <w:rsid w:val="00F94241"/>
    <w:rsid w:val="00F9739A"/>
    <w:rsid w:val="00FA2370"/>
    <w:rsid w:val="00FA373E"/>
    <w:rsid w:val="00FA3AA9"/>
    <w:rsid w:val="00FB1533"/>
    <w:rsid w:val="00FB6603"/>
    <w:rsid w:val="00FB67A3"/>
    <w:rsid w:val="00FB6973"/>
    <w:rsid w:val="00FB7512"/>
    <w:rsid w:val="00FC1A2A"/>
    <w:rsid w:val="00FC505C"/>
    <w:rsid w:val="00FC552F"/>
    <w:rsid w:val="00FC5AF4"/>
    <w:rsid w:val="00FC6A66"/>
    <w:rsid w:val="00FD2307"/>
    <w:rsid w:val="00FD236A"/>
    <w:rsid w:val="00FD272F"/>
    <w:rsid w:val="00FD2FBE"/>
    <w:rsid w:val="00FD346D"/>
    <w:rsid w:val="00FD7547"/>
    <w:rsid w:val="00FD7698"/>
    <w:rsid w:val="00FE2C30"/>
    <w:rsid w:val="00FE2CF2"/>
    <w:rsid w:val="00FE3164"/>
    <w:rsid w:val="00FE3467"/>
    <w:rsid w:val="00FF2C8C"/>
    <w:rsid w:val="00FF3924"/>
    <w:rsid w:val="00FF420B"/>
    <w:rsid w:val="00FF45BA"/>
    <w:rsid w:val="00FF504D"/>
    <w:rsid w:val="00FF5B47"/>
    <w:rsid w:val="00FF5F5C"/>
    <w:rsid w:val="00FF7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B0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11C0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F42937"/>
    <w:rPr>
      <w:rFonts w:ascii="Arial" w:hAnsi="Arial"/>
      <w:lang w:eastAsia="en-US" w:bidi="en-US"/>
    </w:rPr>
  </w:style>
  <w:style w:type="paragraph" w:customStyle="1" w:styleId="FSHeading">
    <w:name w:val="FS Heading"/>
    <w:basedOn w:val="Normal"/>
    <w:qFormat/>
    <w:rsid w:val="00FC6A66"/>
    <w:pPr>
      <w:ind w:left="851" w:hanging="851"/>
    </w:pPr>
    <w:rPr>
      <w:b/>
      <w:szCs w:val="20"/>
      <w:lang w:bidi="ar-SA"/>
    </w:rPr>
  </w:style>
  <w:style w:type="character" w:customStyle="1" w:styleId="FooterChar">
    <w:name w:val="Footer Char"/>
    <w:basedOn w:val="DefaultParagraphFont"/>
    <w:link w:val="Footer"/>
    <w:uiPriority w:val="99"/>
    <w:rsid w:val="00453E38"/>
    <w:rPr>
      <w:rFonts w:ascii="Arial" w:hAnsi="Arial"/>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11C0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F42937"/>
    <w:rPr>
      <w:rFonts w:ascii="Arial" w:hAnsi="Arial"/>
      <w:lang w:eastAsia="en-US" w:bidi="en-US"/>
    </w:rPr>
  </w:style>
  <w:style w:type="paragraph" w:customStyle="1" w:styleId="FSHeading">
    <w:name w:val="FS Heading"/>
    <w:basedOn w:val="Normal"/>
    <w:qFormat/>
    <w:rsid w:val="00FC6A66"/>
    <w:pPr>
      <w:ind w:left="851" w:hanging="851"/>
    </w:pPr>
    <w:rPr>
      <w:b/>
      <w:szCs w:val="20"/>
      <w:lang w:bidi="ar-SA"/>
    </w:rPr>
  </w:style>
  <w:style w:type="character" w:customStyle="1" w:styleId="FooterChar">
    <w:name w:val="Footer Char"/>
    <w:basedOn w:val="DefaultParagraphFont"/>
    <w:link w:val="Footer"/>
    <w:uiPriority w:val="99"/>
    <w:rsid w:val="00453E38"/>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9957">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42084068">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06528806">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package" Target="embeddings/Microsoft_Visio_Drawing11.vsdx"/><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28" Type="http://schemas.openxmlformats.org/officeDocument/2006/relationships/hyperlink" Target="http://dx.doi.org/10.1080/19440049.2012.745198"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proposals/Pages/P1034ChemicalMigrationfromPackagingintoFood.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theme" Target="theme/theme1.xml"/><Relationship Id="rId30"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package" Target="embeddings/Microsoft_Visio_Drawing22.vsdx"/></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de/proposals/Documents/P1034-Packaging-CFS-SD7.pdf" TargetMode="External"/><Relationship Id="rId13" Type="http://schemas.openxmlformats.org/officeDocument/2006/relationships/hyperlink" Target="https://www.fsai.ie/food_businesses/food_safety_training/online.html" TargetMode="External"/><Relationship Id="rId18" Type="http://schemas.openxmlformats.org/officeDocument/2006/relationships/hyperlink" Target="http://www.packagingcovenant.org.au/data/Resources/Recycled_Materials_in_Food_Contact_Applications-FINAL-May-2014.pdf" TargetMode="External"/><Relationship Id="rId3" Type="http://schemas.openxmlformats.org/officeDocument/2006/relationships/hyperlink" Target="http://www.foodstandards.gov.au/code/proposals/Documents/P1034-Packaging-CFS-SD3.pdf" TargetMode="External"/><Relationship Id="rId21" Type="http://schemas.openxmlformats.org/officeDocument/2006/relationships/hyperlink" Target="http://www.fao.org/fileadmin/user_upload/agns/pdf/CXS_193e.pdf" TargetMode="External"/><Relationship Id="rId7" Type="http://schemas.openxmlformats.org/officeDocument/2006/relationships/hyperlink" Target="http://www.foodstandards.gov.au/code/proposals/Documents/P1034-Packaging-CFS-SD5.pdf" TargetMode="External"/><Relationship Id="rId12" Type="http://schemas.openxmlformats.org/officeDocument/2006/relationships/hyperlink" Target="http://www.foodstandards.gov.au/code/proposals/Pages/P1034ChemicalMigrationfromPackagingintoFood.aspx" TargetMode="External"/><Relationship Id="rId17" Type="http://schemas.openxmlformats.org/officeDocument/2006/relationships/hyperlink" Target="http://www.packaging.org.nz/index.php/sustainability/code-of-practice/" TargetMode="External"/><Relationship Id="rId2" Type="http://schemas.openxmlformats.org/officeDocument/2006/relationships/hyperlink" Target="http://www.foodstandards.gov.au/code/proposals/Documents/P1034-Packaging-CFS-SD2.pdf" TargetMode="External"/><Relationship Id="rId16" Type="http://schemas.openxmlformats.org/officeDocument/2006/relationships/hyperlink" Target="http://www.afgc.org.au/publications/product-identification-form-pif/" TargetMode="External"/><Relationship Id="rId20" Type="http://schemas.openxmlformats.org/officeDocument/2006/relationships/hyperlink" Target="http://www.contactalimentaire.com/fileadmin/ImageFichier_Archive/contact_alimentaire/Fichiers_Documents/guide/guidance_reg-10-2011_en.pdf" TargetMode="External"/><Relationship Id="rId1" Type="http://schemas.openxmlformats.org/officeDocument/2006/relationships/hyperlink" Target="http://www.foodstandards.gov.au/code/proposals/Documents/P1034-Packaging-Consult-CFS.docx" TargetMode="External"/><Relationship Id="rId6" Type="http://schemas.openxmlformats.org/officeDocument/2006/relationships/hyperlink" Target="http://www.foodstandards.gov.au/code/proposals/Documents/P1034-Packaging-Consult-CFS.pdf" TargetMode="External"/><Relationship Id="rId11" Type="http://schemas.openxmlformats.org/officeDocument/2006/relationships/hyperlink" Target="http://www.foodstandards.gov.au/code/proposals/Pages/P1034ChemicalMigrationfromPackagingintoFood.aspx" TargetMode="External"/><Relationship Id="rId5" Type="http://schemas.openxmlformats.org/officeDocument/2006/relationships/hyperlink" Target="http://www.foodstandards.gov.au/code/proposals/Pages/P1034ChemicalMigrationfromPackagingintoFood.aspx" TargetMode="External"/><Relationship Id="rId15" Type="http://schemas.openxmlformats.org/officeDocument/2006/relationships/hyperlink" Target="http://www.foodstandards.gov.au/code/proposals/Documents/P1034-Packaging-CFS-SD7.pdf" TargetMode="External"/><Relationship Id="rId10" Type="http://schemas.openxmlformats.org/officeDocument/2006/relationships/hyperlink" Target="http://www.packagingcovenant.org.au/data/Resources/Recycled_Materials_in_Food_Contact_Applications-FINAL-May-2014.pdf" TargetMode="External"/><Relationship Id="rId19" Type="http://schemas.openxmlformats.org/officeDocument/2006/relationships/hyperlink" Target="http://www.health.gov.au/internet/main/publishing.nsf/Content/foodsecretariat-isc9.htm" TargetMode="External"/><Relationship Id="rId4" Type="http://schemas.openxmlformats.org/officeDocument/2006/relationships/hyperlink" Target="http://www.foodstandards.gov.au/Pages/default.aspx" TargetMode="External"/><Relationship Id="rId9" Type="http://schemas.openxmlformats.org/officeDocument/2006/relationships/hyperlink" Target="http://www.packagingcovenant.org.au/pages/about-apc.html" TargetMode="External"/><Relationship Id="rId14" Type="http://schemas.openxmlformats.org/officeDocument/2006/relationships/hyperlink" Target="https://www.fsai.ie/training/fcm/story.html" TargetMode="External"/><Relationship Id="rId22" Type="http://schemas.openxmlformats.org/officeDocument/2006/relationships/hyperlink" Target="http://www.mhlw.go.jp/english/topics/importedfoods/guideline/dl/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FEFE3-DC88-4CB5-BC76-ACA07391A983}"/>
</file>

<file path=customXml/itemProps2.xml><?xml version="1.0" encoding="utf-8"?>
<ds:datastoreItem xmlns:ds="http://schemas.openxmlformats.org/officeDocument/2006/customXml" ds:itemID="{93D72D04-F808-4EA9-9C6C-F300E8165FB9}"/>
</file>

<file path=customXml/itemProps3.xml><?xml version="1.0" encoding="utf-8"?>
<ds:datastoreItem xmlns:ds="http://schemas.openxmlformats.org/officeDocument/2006/customXml" ds:itemID="{5EAE3B2F-7CFC-4430-87C3-D6786D303B8C}"/>
</file>

<file path=customXml/itemProps4.xml><?xml version="1.0" encoding="utf-8"?>
<ds:datastoreItem xmlns:ds="http://schemas.openxmlformats.org/officeDocument/2006/customXml" ds:itemID="{30DDF4B5-5B5E-4288-9EC3-FB890BE50675}"/>
</file>

<file path=customXml/itemProps5.xml><?xml version="1.0" encoding="utf-8"?>
<ds:datastoreItem xmlns:ds="http://schemas.openxmlformats.org/officeDocument/2006/customXml" ds:itemID="{2CA3FB8A-3489-47CE-803F-45FC6FDECA76}"/>
</file>

<file path=customXml/itemProps6.xml><?xml version="1.0" encoding="utf-8"?>
<ds:datastoreItem xmlns:ds="http://schemas.openxmlformats.org/officeDocument/2006/customXml" ds:itemID="{09386980-DD65-4DF1-9533-083BACE8E486}"/>
</file>

<file path=docProps/app.xml><?xml version="1.0" encoding="utf-8"?>
<Properties xmlns="http://schemas.openxmlformats.org/officeDocument/2006/extended-properties" xmlns:vt="http://schemas.openxmlformats.org/officeDocument/2006/docPropsVTypes">
  <Template>Normal.dotm</Template>
  <TotalTime>24</TotalTime>
  <Pages>24</Pages>
  <Words>9674</Words>
  <Characters>57372</Characters>
  <Application>Microsoft Office Word</Application>
  <DocSecurity>0</DocSecurity>
  <Lines>478</Lines>
  <Paragraphs>133</Paragraphs>
  <ScaleCrop>false</ScaleCrop>
  <HeadingPairs>
    <vt:vector size="2" baseType="variant">
      <vt:variant>
        <vt:lpstr>Title</vt:lpstr>
      </vt:variant>
      <vt:variant>
        <vt:i4>1</vt:i4>
      </vt:variant>
    </vt:vector>
  </HeadingPairs>
  <TitlesOfParts>
    <vt:vector size="1" baseType="lpstr">
      <vt:lpstr>P1034 CFS</vt:lpstr>
    </vt:vector>
  </TitlesOfParts>
  <Company>ANZFA</Company>
  <LinksUpToDate>false</LinksUpToDate>
  <CharactersWithSpaces>66913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P1034 CFS</dc:title>
  <dc:creator>butowb</dc:creator>
  <cp:keywords>packaging</cp:keywords>
  <cp:lastModifiedBy>humphc</cp:lastModifiedBy>
  <cp:revision>8</cp:revision>
  <cp:lastPrinted>2016-06-07T23:15:00Z</cp:lastPrinted>
  <dcterms:created xsi:type="dcterms:W3CDTF">2016-06-05T23:59:00Z</dcterms:created>
  <dcterms:modified xsi:type="dcterms:W3CDTF">2016-06-07T23:15:00Z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832;#Call for Submissions|8cfb1c27-19a6-4349-9bee-b620975c20b4</vt:lpwstr>
  </property>
  <property fmtid="{D5CDD505-2E9C-101B-9397-08002B2CF9AE}" pid="4" name="_dlc_DocIdItemGuid">
    <vt:lpwstr>62831209-4a29-49da-982a-5edcaec09860</vt:lpwstr>
  </property>
  <property fmtid="{D5CDD505-2E9C-101B-9397-08002B2CF9AE}" pid="5" name="DisposalClass">
    <vt:lpwstr>310;#Consultation|b3c81d7a-e464-4976-aa17-3a1f8c336df4</vt:lpwstr>
  </property>
</Properties>
</file>